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B872DE">
      <w:pPr>
        <w:pStyle w:val="Titul2"/>
        <w:ind w:left="709" w:hanging="709"/>
      </w:pPr>
    </w:p>
    <w:p w14:paraId="73365075" w14:textId="77777777" w:rsidR="00826B7B" w:rsidRDefault="00826B7B" w:rsidP="00B872DE">
      <w:pPr>
        <w:pStyle w:val="Titul2"/>
        <w:ind w:left="709" w:hanging="709"/>
      </w:pPr>
    </w:p>
    <w:p w14:paraId="05B998B6" w14:textId="77777777" w:rsidR="00DA1C67" w:rsidRDefault="00DA1C67" w:rsidP="00B872DE">
      <w:pPr>
        <w:pStyle w:val="Titul2"/>
        <w:ind w:left="709" w:hanging="709"/>
      </w:pPr>
    </w:p>
    <w:p w14:paraId="3C242980" w14:textId="4C468DA8" w:rsidR="003254A3" w:rsidRPr="000719BB" w:rsidRDefault="00BD76C3" w:rsidP="00B872DE">
      <w:pPr>
        <w:pStyle w:val="Titul2"/>
        <w:ind w:left="709" w:hanging="709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B872DE">
      <w:pPr>
        <w:pStyle w:val="Titul2"/>
        <w:ind w:left="709" w:hanging="709"/>
      </w:pPr>
    </w:p>
    <w:p w14:paraId="39900907" w14:textId="77777777" w:rsidR="00AD0C7B" w:rsidRDefault="00BD76C3" w:rsidP="00B872DE">
      <w:pPr>
        <w:pStyle w:val="Titul1"/>
        <w:ind w:left="709" w:hanging="709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B872DE">
      <w:pPr>
        <w:pStyle w:val="Titul2"/>
        <w:ind w:left="709" w:hanging="709"/>
      </w:pPr>
    </w:p>
    <w:p w14:paraId="3CFA17F1" w14:textId="77777777" w:rsidR="00EB46E5" w:rsidRPr="00BF54FE" w:rsidRDefault="00EB46E5" w:rsidP="00B872DE">
      <w:pPr>
        <w:pStyle w:val="Titul2"/>
        <w:ind w:left="709" w:hanging="709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B872DE">
      <w:pPr>
        <w:pStyle w:val="Tituldatum"/>
        <w:ind w:left="709" w:hanging="709"/>
      </w:pPr>
    </w:p>
    <w:sdt>
      <w:sdtPr>
        <w:rPr>
          <w:b/>
          <w:bCs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/>
      <w:sdtContent>
        <w:p w14:paraId="6ADE4F68" w14:textId="5720E95F" w:rsidR="00BF54FE" w:rsidRPr="00D61BB3" w:rsidRDefault="005F69B1" w:rsidP="00A201E1">
          <w:pPr>
            <w:pStyle w:val="Tituldatum"/>
            <w:rPr>
              <w:rStyle w:val="Nzevakce"/>
            </w:rPr>
          </w:pPr>
          <w:r w:rsidRPr="005F69B1">
            <w:rPr>
              <w:b/>
              <w:bCs/>
            </w:rPr>
            <w:t>Odstranění důlní škody Louky nad Olší -Karviná km 326,218 - 328,664 - zabezpečovací zařízení</w:t>
          </w:r>
        </w:p>
      </w:sdtContent>
    </w:sdt>
    <w:p w14:paraId="6D99332D" w14:textId="77777777" w:rsidR="00BF54FE" w:rsidRDefault="00BF54FE" w:rsidP="00B872DE">
      <w:pPr>
        <w:pStyle w:val="Tituldatum"/>
        <w:ind w:left="709" w:hanging="709"/>
      </w:pPr>
    </w:p>
    <w:p w14:paraId="294D42DB" w14:textId="77777777" w:rsidR="009226C1" w:rsidRDefault="009226C1" w:rsidP="00B872DE">
      <w:pPr>
        <w:pStyle w:val="Tituldatum"/>
        <w:ind w:left="709" w:hanging="709"/>
      </w:pPr>
    </w:p>
    <w:p w14:paraId="140A88A1" w14:textId="77777777" w:rsidR="00DA1C67" w:rsidRDefault="00DA1C67" w:rsidP="00B872DE">
      <w:pPr>
        <w:pStyle w:val="Tituldatum"/>
        <w:ind w:left="709" w:hanging="709"/>
      </w:pPr>
    </w:p>
    <w:p w14:paraId="73283D63" w14:textId="77777777" w:rsidR="00DA1C67" w:rsidRDefault="00DA1C67" w:rsidP="00B872DE">
      <w:pPr>
        <w:pStyle w:val="Tituldatum"/>
        <w:ind w:left="709" w:hanging="709"/>
      </w:pPr>
    </w:p>
    <w:p w14:paraId="69C7E1F1" w14:textId="77777777" w:rsidR="003B111D" w:rsidRDefault="003B111D" w:rsidP="00B872DE">
      <w:pPr>
        <w:pStyle w:val="Tituldatum"/>
        <w:ind w:left="709" w:hanging="709"/>
      </w:pPr>
    </w:p>
    <w:p w14:paraId="3433D8CE" w14:textId="78EE3081" w:rsidR="00826B7B" w:rsidRPr="006C2343" w:rsidRDefault="006C2343" w:rsidP="00B872DE">
      <w:pPr>
        <w:pStyle w:val="Tituldatum"/>
        <w:ind w:left="709" w:hanging="709"/>
      </w:pPr>
      <w:r w:rsidRPr="006C2343">
        <w:t xml:space="preserve">Datum vydání: </w:t>
      </w:r>
      <w:r w:rsidRPr="006C2343">
        <w:tab/>
      </w:r>
      <w:r w:rsidR="00560BEC" w:rsidRPr="00F87175">
        <w:t>1</w:t>
      </w:r>
      <w:r w:rsidR="00C54DD8">
        <w:t>7</w:t>
      </w:r>
      <w:r w:rsidR="00C56FB9" w:rsidRPr="00F87175">
        <w:t>.</w:t>
      </w:r>
      <w:r w:rsidR="00BC6CFB" w:rsidRPr="00F87175">
        <w:t xml:space="preserve"> </w:t>
      </w:r>
      <w:r w:rsidR="00AD59B7" w:rsidRPr="00F87175">
        <w:t>0</w:t>
      </w:r>
      <w:r w:rsidR="00711B56" w:rsidRPr="00F87175">
        <w:t>4</w:t>
      </w:r>
      <w:r w:rsidR="00C56FB9" w:rsidRPr="00F87175">
        <w:t>.</w:t>
      </w:r>
      <w:r w:rsidR="00BC6CFB" w:rsidRPr="00F87175">
        <w:t xml:space="preserve"> </w:t>
      </w:r>
      <w:r w:rsidR="00C56FB9" w:rsidRPr="00F87175">
        <w:t>202</w:t>
      </w:r>
      <w:r w:rsidR="00AD59B7" w:rsidRPr="00F87175">
        <w:t>3</w:t>
      </w:r>
      <w:r w:rsidR="0076790E">
        <w:t xml:space="preserve"> </w:t>
      </w:r>
    </w:p>
    <w:p w14:paraId="377EE8BF" w14:textId="77777777" w:rsidR="0002642A" w:rsidRDefault="0002642A" w:rsidP="00B872DE">
      <w:pPr>
        <w:pStyle w:val="ZTPinfo-text"/>
        <w:ind w:left="709" w:hanging="709"/>
        <w:rPr>
          <w:b/>
        </w:rPr>
      </w:pPr>
    </w:p>
    <w:p w14:paraId="3DC992D0" w14:textId="77777777" w:rsidR="0002642A" w:rsidRDefault="0002642A" w:rsidP="00B872DE">
      <w:pPr>
        <w:pStyle w:val="ZTPinfo-text"/>
        <w:ind w:left="709" w:hanging="709"/>
        <w:rPr>
          <w:b/>
        </w:rPr>
      </w:pPr>
    </w:p>
    <w:p w14:paraId="12EDD888" w14:textId="77777777" w:rsidR="0002642A" w:rsidRDefault="0002642A" w:rsidP="00B872DE">
      <w:pPr>
        <w:pStyle w:val="ZTPinfo-text"/>
        <w:ind w:left="709" w:hanging="709"/>
        <w:rPr>
          <w:b/>
        </w:rPr>
      </w:pPr>
    </w:p>
    <w:p w14:paraId="383AD8B3" w14:textId="77777777" w:rsidR="0002642A" w:rsidRDefault="0002642A" w:rsidP="00B872DE">
      <w:pPr>
        <w:pStyle w:val="ZTPinfo-text"/>
        <w:ind w:left="709" w:hanging="709"/>
        <w:rPr>
          <w:b/>
        </w:rPr>
      </w:pPr>
    </w:p>
    <w:p w14:paraId="5E5F5741" w14:textId="77777777" w:rsidR="0002642A" w:rsidRDefault="0002642A" w:rsidP="00B872DE">
      <w:pPr>
        <w:pStyle w:val="ZTPinfo-text"/>
        <w:ind w:left="709" w:hanging="709"/>
        <w:rPr>
          <w:b/>
        </w:rPr>
      </w:pPr>
    </w:p>
    <w:p w14:paraId="00F27DB9" w14:textId="77777777" w:rsidR="0002642A" w:rsidRDefault="0002642A" w:rsidP="00B872DE">
      <w:pPr>
        <w:pStyle w:val="ZTPinfo-text"/>
        <w:ind w:left="709" w:hanging="709"/>
        <w:rPr>
          <w:b/>
        </w:rPr>
      </w:pPr>
    </w:p>
    <w:p w14:paraId="48629ED3" w14:textId="77777777" w:rsidR="00BD7E91" w:rsidRDefault="00BD7E91" w:rsidP="00B872DE">
      <w:pPr>
        <w:pStyle w:val="Nadpisbezsl1-1"/>
        <w:ind w:left="709" w:hanging="709"/>
      </w:pPr>
      <w:r>
        <w:lastRenderedPageBreak/>
        <w:t>Obsah</w:t>
      </w:r>
      <w:r w:rsidR="00887F36">
        <w:t xml:space="preserve"> </w:t>
      </w:r>
    </w:p>
    <w:p w14:paraId="44F757D3" w14:textId="1A9950F3" w:rsidR="00C54DD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2615025" w:history="1">
        <w:r w:rsidR="00C54DD8" w:rsidRPr="004E7C85">
          <w:rPr>
            <w:rStyle w:val="Hypertextovodkaz"/>
          </w:rPr>
          <w:t>SEZNAM ZKRATEK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_Toc132615025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 w:rsidR="00780967">
          <w:rPr>
            <w:noProof/>
            <w:webHidden/>
          </w:rPr>
          <w:t>2</w:t>
        </w:r>
        <w:r w:rsidR="00C54DD8">
          <w:rPr>
            <w:noProof/>
            <w:webHidden/>
          </w:rPr>
          <w:fldChar w:fldCharType="end"/>
        </w:r>
      </w:hyperlink>
    </w:p>
    <w:p w14:paraId="5FF1161D" w14:textId="0D1F996A" w:rsidR="00C54DD8" w:rsidRDefault="007809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615026" w:history="1">
        <w:r w:rsidR="00C54DD8" w:rsidRPr="004E7C85">
          <w:rPr>
            <w:rStyle w:val="Hypertextovodkaz"/>
          </w:rPr>
          <w:t>Pojmy a definice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_Toc132615026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54DD8">
          <w:rPr>
            <w:noProof/>
            <w:webHidden/>
          </w:rPr>
          <w:fldChar w:fldCharType="end"/>
        </w:r>
      </w:hyperlink>
    </w:p>
    <w:p w14:paraId="3EEA35EB" w14:textId="20FB4124" w:rsidR="00C54DD8" w:rsidRDefault="007809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615027" w:history="1">
        <w:r w:rsidR="00C54DD8" w:rsidRPr="004E7C85">
          <w:rPr>
            <w:rStyle w:val="Hypertextovodkaz"/>
          </w:rPr>
          <w:t>1.</w:t>
        </w:r>
        <w:r w:rsidR="00C54DD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SPECIFIKACE PŘEDMĚTU DÍLA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_Toc132615027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54DD8">
          <w:rPr>
            <w:noProof/>
            <w:webHidden/>
          </w:rPr>
          <w:fldChar w:fldCharType="end"/>
        </w:r>
      </w:hyperlink>
    </w:p>
    <w:p w14:paraId="3A235AFA" w14:textId="20C77778" w:rsidR="00C54DD8" w:rsidRDefault="007809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15028" w:history="1">
        <w:r w:rsidR="00C54DD8" w:rsidRPr="004E7C85">
          <w:rPr>
            <w:rStyle w:val="Hypertextovodkaz"/>
            <w:rFonts w:asciiTheme="majorHAnsi" w:hAnsiTheme="majorHAnsi"/>
          </w:rPr>
          <w:t>1.1</w:t>
        </w:r>
        <w:r w:rsidR="00C54DD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Účel a rozsah předmětu Díla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_Toc132615028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54DD8">
          <w:rPr>
            <w:noProof/>
            <w:webHidden/>
          </w:rPr>
          <w:fldChar w:fldCharType="end"/>
        </w:r>
      </w:hyperlink>
    </w:p>
    <w:p w14:paraId="79660428" w14:textId="540BB4AE" w:rsidR="00C54DD8" w:rsidRDefault="007809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15029" w:history="1">
        <w:r w:rsidR="00C54DD8" w:rsidRPr="004E7C85">
          <w:rPr>
            <w:rStyle w:val="Hypertextovodkaz"/>
            <w:rFonts w:asciiTheme="majorHAnsi" w:hAnsiTheme="majorHAnsi"/>
          </w:rPr>
          <w:t>1.2</w:t>
        </w:r>
        <w:r w:rsidR="00C54DD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Umístění stavby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_Toc132615029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54DD8">
          <w:rPr>
            <w:noProof/>
            <w:webHidden/>
          </w:rPr>
          <w:fldChar w:fldCharType="end"/>
        </w:r>
      </w:hyperlink>
    </w:p>
    <w:p w14:paraId="59BA5C7B" w14:textId="4006F332" w:rsidR="00C54DD8" w:rsidRDefault="007809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615030" w:history="1">
        <w:r w:rsidR="00C54DD8" w:rsidRPr="004E7C85">
          <w:rPr>
            <w:rStyle w:val="Hypertextovodkaz"/>
          </w:rPr>
          <w:t>2.</w:t>
        </w:r>
        <w:r w:rsidR="00C54DD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PŘEHLED VÝCHOZÍCH PODKLADŮ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_Toc132615030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54DD8">
          <w:rPr>
            <w:noProof/>
            <w:webHidden/>
          </w:rPr>
          <w:fldChar w:fldCharType="end"/>
        </w:r>
      </w:hyperlink>
    </w:p>
    <w:p w14:paraId="5D7AAE87" w14:textId="7624498C" w:rsidR="00C54DD8" w:rsidRDefault="007809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15031" w:history="1">
        <w:r w:rsidR="00C54DD8" w:rsidRPr="004E7C85">
          <w:rPr>
            <w:rStyle w:val="Hypertextovodkaz"/>
            <w:rFonts w:asciiTheme="majorHAnsi" w:hAnsiTheme="majorHAnsi"/>
          </w:rPr>
          <w:t>2.1</w:t>
        </w:r>
        <w:r w:rsidR="00C54DD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Projektová dokumentace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_Toc132615031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54DD8">
          <w:rPr>
            <w:noProof/>
            <w:webHidden/>
          </w:rPr>
          <w:fldChar w:fldCharType="end"/>
        </w:r>
      </w:hyperlink>
    </w:p>
    <w:p w14:paraId="468654B3" w14:textId="3CB55E81" w:rsidR="00C54DD8" w:rsidRDefault="007809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15032" w:history="1">
        <w:r w:rsidR="00C54DD8" w:rsidRPr="004E7C85">
          <w:rPr>
            <w:rStyle w:val="Hypertextovodkaz"/>
            <w:rFonts w:asciiTheme="majorHAnsi" w:hAnsiTheme="majorHAnsi"/>
          </w:rPr>
          <w:t>2.2</w:t>
        </w:r>
        <w:r w:rsidR="00C54DD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Související dokumentace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_Toc132615032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54DD8">
          <w:rPr>
            <w:noProof/>
            <w:webHidden/>
          </w:rPr>
          <w:fldChar w:fldCharType="end"/>
        </w:r>
      </w:hyperlink>
    </w:p>
    <w:p w14:paraId="2A6C20D5" w14:textId="607E0DCA" w:rsidR="00C54DD8" w:rsidRDefault="007809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615033" w:history="1">
        <w:r w:rsidR="00C54DD8" w:rsidRPr="004E7C85">
          <w:rPr>
            <w:rStyle w:val="Hypertextovodkaz"/>
          </w:rPr>
          <w:t>3.</w:t>
        </w:r>
        <w:r w:rsidR="00C54DD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KOORDINACE S JINÝMI STAVBAMI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_Toc132615033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54DD8">
          <w:rPr>
            <w:noProof/>
            <w:webHidden/>
          </w:rPr>
          <w:fldChar w:fldCharType="end"/>
        </w:r>
      </w:hyperlink>
    </w:p>
    <w:p w14:paraId="11346200" w14:textId="39446E30" w:rsidR="00C54DD8" w:rsidRDefault="007809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615034" w:history="1">
        <w:r w:rsidR="00C54DD8" w:rsidRPr="004E7C85">
          <w:rPr>
            <w:rStyle w:val="Hypertextovodkaz"/>
          </w:rPr>
          <w:t>4.</w:t>
        </w:r>
        <w:r w:rsidR="00C54DD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Zvláštní TECHNICKÉ podmímky a požadavky na PROVEDENÍ DÍLA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_Toc132615034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54DD8">
          <w:rPr>
            <w:noProof/>
            <w:webHidden/>
          </w:rPr>
          <w:fldChar w:fldCharType="end"/>
        </w:r>
      </w:hyperlink>
    </w:p>
    <w:p w14:paraId="21A04C94" w14:textId="3ACB5265" w:rsidR="00C54DD8" w:rsidRDefault="007809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15035" w:history="1">
        <w:r w:rsidR="00C54DD8" w:rsidRPr="004E7C85">
          <w:rPr>
            <w:rStyle w:val="Hypertextovodkaz"/>
            <w:rFonts w:asciiTheme="majorHAnsi" w:hAnsiTheme="majorHAnsi"/>
          </w:rPr>
          <w:t>4.1</w:t>
        </w:r>
        <w:r w:rsidR="00C54DD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Všeobecně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_Toc132615035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54DD8">
          <w:rPr>
            <w:noProof/>
            <w:webHidden/>
          </w:rPr>
          <w:fldChar w:fldCharType="end"/>
        </w:r>
      </w:hyperlink>
    </w:p>
    <w:p w14:paraId="1DA6948C" w14:textId="7963175E" w:rsidR="00C54DD8" w:rsidRDefault="007809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15036" w:history="1">
        <w:r w:rsidR="00C54DD8" w:rsidRPr="004E7C85">
          <w:rPr>
            <w:rStyle w:val="Hypertextovodkaz"/>
            <w:rFonts w:asciiTheme="majorHAnsi" w:hAnsiTheme="majorHAnsi"/>
          </w:rPr>
          <w:t>4.2</w:t>
        </w:r>
        <w:r w:rsidR="00C54DD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Zeměměřická činnost zhotovitele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_Toc132615036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C54DD8">
          <w:rPr>
            <w:noProof/>
            <w:webHidden/>
          </w:rPr>
          <w:fldChar w:fldCharType="end"/>
        </w:r>
      </w:hyperlink>
    </w:p>
    <w:p w14:paraId="1A9D7CFA" w14:textId="17E9DB7C" w:rsidR="00C54DD8" w:rsidRDefault="007809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15037" w:history="1">
        <w:r w:rsidR="00C54DD8" w:rsidRPr="004E7C85">
          <w:rPr>
            <w:rStyle w:val="Hypertextovodkaz"/>
            <w:rFonts w:asciiTheme="majorHAnsi" w:hAnsiTheme="majorHAnsi"/>
          </w:rPr>
          <w:t>4.3</w:t>
        </w:r>
        <w:r w:rsidR="00C54DD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Doklady předkládané zhotovitelem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_Toc132615037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C54DD8">
          <w:rPr>
            <w:noProof/>
            <w:webHidden/>
          </w:rPr>
          <w:fldChar w:fldCharType="end"/>
        </w:r>
      </w:hyperlink>
    </w:p>
    <w:p w14:paraId="26D04C8D" w14:textId="2989B0DE" w:rsidR="00C54DD8" w:rsidRDefault="007809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15038" w:history="1">
        <w:r w:rsidR="00C54DD8" w:rsidRPr="004E7C85">
          <w:rPr>
            <w:rStyle w:val="Hypertextovodkaz"/>
            <w:rFonts w:asciiTheme="majorHAnsi" w:hAnsiTheme="majorHAnsi"/>
          </w:rPr>
          <w:t>4.4</w:t>
        </w:r>
        <w:r w:rsidR="00C54DD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Dokumentace zhotovitele pro stavbu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_Toc132615038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C54DD8">
          <w:rPr>
            <w:noProof/>
            <w:webHidden/>
          </w:rPr>
          <w:fldChar w:fldCharType="end"/>
        </w:r>
      </w:hyperlink>
    </w:p>
    <w:p w14:paraId="20158CE0" w14:textId="493B5D76" w:rsidR="00C54DD8" w:rsidRDefault="007809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15039" w:history="1">
        <w:r w:rsidR="00C54DD8" w:rsidRPr="004E7C85">
          <w:rPr>
            <w:rStyle w:val="Hypertextovodkaz"/>
            <w:rFonts w:asciiTheme="majorHAnsi" w:hAnsiTheme="majorHAnsi"/>
          </w:rPr>
          <w:t>4.5</w:t>
        </w:r>
        <w:r w:rsidR="00C54DD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Dokumentace skutečného provedení stavby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_Toc132615039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C54DD8">
          <w:rPr>
            <w:noProof/>
            <w:webHidden/>
          </w:rPr>
          <w:fldChar w:fldCharType="end"/>
        </w:r>
      </w:hyperlink>
    </w:p>
    <w:p w14:paraId="75CA2412" w14:textId="1D26AB20" w:rsidR="00C54DD8" w:rsidRDefault="007809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15040" w:history="1">
        <w:r w:rsidR="00C54DD8" w:rsidRPr="004E7C85">
          <w:rPr>
            <w:rStyle w:val="Hypertextovodkaz"/>
            <w:rFonts w:asciiTheme="majorHAnsi" w:hAnsiTheme="majorHAnsi"/>
          </w:rPr>
          <w:t>4.6</w:t>
        </w:r>
        <w:r w:rsidR="00C54DD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Zabezpečovací zařízení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_Toc132615040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C54DD8">
          <w:rPr>
            <w:noProof/>
            <w:webHidden/>
          </w:rPr>
          <w:fldChar w:fldCharType="end"/>
        </w:r>
      </w:hyperlink>
    </w:p>
    <w:p w14:paraId="66D6B74E" w14:textId="18115813" w:rsidR="00C54DD8" w:rsidRDefault="007809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15041" w:history="1">
        <w:r w:rsidR="00C54DD8" w:rsidRPr="004E7C85">
          <w:rPr>
            <w:rStyle w:val="Hypertextovodkaz"/>
            <w:rFonts w:asciiTheme="majorHAnsi" w:hAnsiTheme="majorHAnsi"/>
          </w:rPr>
          <w:t>4.7</w:t>
        </w:r>
        <w:r w:rsidR="00C54DD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Životní prostředí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_Toc132615041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C54DD8">
          <w:rPr>
            <w:noProof/>
            <w:webHidden/>
          </w:rPr>
          <w:fldChar w:fldCharType="end"/>
        </w:r>
      </w:hyperlink>
    </w:p>
    <w:p w14:paraId="56431369" w14:textId="79F55A57" w:rsidR="00C54DD8" w:rsidRDefault="007809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615042" w:history="1">
        <w:r w:rsidR="00C54DD8" w:rsidRPr="004E7C85">
          <w:rPr>
            <w:rStyle w:val="Hypertextovodkaz"/>
          </w:rPr>
          <w:t>5.</w:t>
        </w:r>
        <w:r w:rsidR="00C54DD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ORGANIZACE VÝSTAVBY, VÝLUKY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_Toc132615042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C54DD8">
          <w:rPr>
            <w:noProof/>
            <w:webHidden/>
          </w:rPr>
          <w:fldChar w:fldCharType="end"/>
        </w:r>
      </w:hyperlink>
    </w:p>
    <w:p w14:paraId="664C8872" w14:textId="6362CFCB" w:rsidR="00C54DD8" w:rsidRDefault="007809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615043" w:history="1">
        <w:r w:rsidR="00C54DD8" w:rsidRPr="004E7C85">
          <w:rPr>
            <w:rStyle w:val="Hypertextovodkaz"/>
          </w:rPr>
          <w:t>6.</w:t>
        </w:r>
        <w:r w:rsidR="00C54DD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SOUVISEJÍCÍ DOKUMENTY A PŘEDPISY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_Toc132615043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C54DD8">
          <w:rPr>
            <w:noProof/>
            <w:webHidden/>
          </w:rPr>
          <w:fldChar w:fldCharType="end"/>
        </w:r>
      </w:hyperlink>
    </w:p>
    <w:p w14:paraId="211B6D6F" w14:textId="6173CDEC" w:rsidR="00C54DD8" w:rsidRDefault="007809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615044" w:history="1">
        <w:r w:rsidR="00C54DD8" w:rsidRPr="004E7C85">
          <w:rPr>
            <w:rStyle w:val="Hypertextovodkaz"/>
          </w:rPr>
          <w:t>7.</w:t>
        </w:r>
        <w:r w:rsidR="00C54DD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54DD8" w:rsidRPr="004E7C85">
          <w:rPr>
            <w:rStyle w:val="Hypertextovodkaz"/>
          </w:rPr>
          <w:t>PŘÍLOHY</w:t>
        </w:r>
        <w:r w:rsidR="00C54DD8">
          <w:rPr>
            <w:noProof/>
            <w:webHidden/>
          </w:rPr>
          <w:tab/>
        </w:r>
        <w:r w:rsidR="00C54DD8">
          <w:rPr>
            <w:noProof/>
            <w:webHidden/>
          </w:rPr>
          <w:fldChar w:fldCharType="begin"/>
        </w:r>
        <w:r w:rsidR="00C54DD8">
          <w:rPr>
            <w:noProof/>
            <w:webHidden/>
          </w:rPr>
          <w:instrText xml:space="preserve"> PAGEREF _Toc132615044 \h </w:instrText>
        </w:r>
        <w:r w:rsidR="00C54DD8">
          <w:rPr>
            <w:noProof/>
            <w:webHidden/>
          </w:rPr>
        </w:r>
        <w:r w:rsidR="00C54DD8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C54DD8">
          <w:rPr>
            <w:noProof/>
            <w:webHidden/>
          </w:rPr>
          <w:fldChar w:fldCharType="end"/>
        </w:r>
      </w:hyperlink>
    </w:p>
    <w:p w14:paraId="30D8D7FD" w14:textId="4240A499" w:rsidR="00AD0C7B" w:rsidRDefault="00BD7E91" w:rsidP="00B872DE">
      <w:pPr>
        <w:ind w:left="709" w:hanging="709"/>
      </w:pPr>
      <w:r>
        <w:fldChar w:fldCharType="end"/>
      </w:r>
    </w:p>
    <w:p w14:paraId="5E492BC7" w14:textId="77777777" w:rsidR="00AD0C7B" w:rsidRDefault="00AD0C7B" w:rsidP="00B872DE">
      <w:pPr>
        <w:pStyle w:val="Nadpisbezsl1-1"/>
        <w:ind w:left="709" w:hanging="709"/>
        <w:outlineLvl w:val="0"/>
      </w:pPr>
      <w:bookmarkStart w:id="0" w:name="_Toc132615025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B872DE">
      <w:pPr>
        <w:pStyle w:val="Textbezslovn"/>
        <w:ind w:left="709" w:hanging="709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B872DE">
      <w:pPr>
        <w:pStyle w:val="Textbezslovn"/>
        <w:ind w:left="709" w:hanging="709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6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B872DE">
            <w:pPr>
              <w:pStyle w:val="Zkratky1"/>
              <w:ind w:left="709" w:hanging="709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B872DE">
            <w:pPr>
              <w:pStyle w:val="Zkratky2"/>
              <w:ind w:left="709" w:hanging="709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B872DE">
            <w:pPr>
              <w:pStyle w:val="Zkratky1"/>
              <w:ind w:left="709" w:hanging="709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B872DE">
            <w:pPr>
              <w:pStyle w:val="Zkratky2"/>
              <w:ind w:left="709" w:hanging="709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B872DE">
            <w:pPr>
              <w:pStyle w:val="Zkratky1"/>
              <w:ind w:left="709" w:hanging="709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B872DE">
            <w:pPr>
              <w:pStyle w:val="Zkratky2"/>
              <w:ind w:left="709" w:hanging="709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B872DE">
            <w:pPr>
              <w:pStyle w:val="Zkratky2"/>
              <w:ind w:left="709" w:hanging="709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B872DE">
            <w:pPr>
              <w:pStyle w:val="Zkratky1"/>
              <w:ind w:left="709" w:hanging="709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B872DE">
            <w:pPr>
              <w:pStyle w:val="Zkratky2"/>
              <w:ind w:left="709" w:hanging="709"/>
            </w:pPr>
          </w:p>
        </w:tc>
      </w:tr>
    </w:tbl>
    <w:p w14:paraId="4CE6ED40" w14:textId="77777777" w:rsidR="003226D3" w:rsidRDefault="003226D3" w:rsidP="00B872DE">
      <w:pPr>
        <w:ind w:left="709" w:hanging="709"/>
      </w:pPr>
    </w:p>
    <w:p w14:paraId="52288D03" w14:textId="77777777" w:rsidR="00041EC8" w:rsidRDefault="003226D3" w:rsidP="00B872DE">
      <w:pPr>
        <w:spacing w:after="240" w:line="264" w:lineRule="auto"/>
        <w:ind w:left="709" w:hanging="709"/>
      </w:pPr>
      <w:r>
        <w:br w:type="page"/>
      </w:r>
    </w:p>
    <w:p w14:paraId="78B680FB" w14:textId="77777777" w:rsidR="00F92E3A" w:rsidRDefault="00F92E3A" w:rsidP="00B872DE">
      <w:pPr>
        <w:pStyle w:val="Nadpisbezsl1-1"/>
        <w:ind w:left="709" w:hanging="709"/>
        <w:outlineLvl w:val="0"/>
      </w:pPr>
      <w:bookmarkStart w:id="2" w:name="_Toc132615026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B872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B872DE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BA8DB12" w14:textId="41556CEB" w:rsidR="00F92E3A" w:rsidRPr="00780967" w:rsidRDefault="00F92E3A" w:rsidP="00875621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18"/>
        </w:rPr>
      </w:pPr>
      <w:r w:rsidRPr="00780967">
        <w:rPr>
          <w:b/>
          <w:sz w:val="18"/>
          <w:szCs w:val="18"/>
        </w:rPr>
        <w:t>Realizační dokumentace stavby</w:t>
      </w:r>
      <w:r w:rsidRPr="00780967">
        <w:rPr>
          <w:sz w:val="18"/>
          <w:szCs w:val="18"/>
        </w:rPr>
        <w:t xml:space="preserve"> (RDS) je dokumentací zhotovitele stavby a zpracovává</w:t>
      </w:r>
      <w:r w:rsidR="00746474" w:rsidRPr="00780967">
        <w:rPr>
          <w:sz w:val="18"/>
          <w:szCs w:val="18"/>
        </w:rPr>
        <w:t xml:space="preserve"> se samostatně </w:t>
      </w:r>
      <w:r w:rsidRPr="00780967">
        <w:rPr>
          <w:sz w:val="18"/>
          <w:szCs w:val="18"/>
        </w:rPr>
        <w:t>pro jednotlivé objekty. Jedná se o dokumentaci, která rozpracovává PDPS</w:t>
      </w:r>
      <w:r w:rsidR="00746474" w:rsidRPr="00780967">
        <w:rPr>
          <w:sz w:val="18"/>
          <w:szCs w:val="18"/>
        </w:rPr>
        <w:t xml:space="preserve"> s ohledem </w:t>
      </w:r>
      <w:r w:rsidRPr="00780967">
        <w:rPr>
          <w:sz w:val="18"/>
          <w:szCs w:val="18"/>
        </w:rPr>
        <w:t>na znalosti konkrétních výrobků, dodávaných technologií, technologických</w:t>
      </w:r>
      <w:r w:rsidR="00746474" w:rsidRPr="00780967">
        <w:rPr>
          <w:sz w:val="18"/>
          <w:szCs w:val="18"/>
        </w:rPr>
        <w:t xml:space="preserve"> postupů </w:t>
      </w:r>
      <w:r w:rsidRPr="00780967">
        <w:rPr>
          <w:sz w:val="18"/>
          <w:szCs w:val="18"/>
        </w:rPr>
        <w:t>a výrobních podmínek konkrétního zhotovitele stavby. Součástí je také</w:t>
      </w:r>
      <w:r w:rsidR="00746474" w:rsidRPr="00780967">
        <w:rPr>
          <w:sz w:val="18"/>
          <w:szCs w:val="18"/>
        </w:rPr>
        <w:t xml:space="preserve"> dokumentace</w:t>
      </w:r>
      <w:r w:rsidR="00780967" w:rsidRPr="00780967">
        <w:rPr>
          <w:sz w:val="18"/>
          <w:szCs w:val="18"/>
        </w:rPr>
        <w:t xml:space="preserve"> </w:t>
      </w:r>
      <w:r w:rsidRPr="00780967">
        <w:rPr>
          <w:sz w:val="18"/>
          <w:szCs w:val="18"/>
        </w:rPr>
        <w:t>výrobní, montážní, dílenská a dokumentace dodavatele mostních objektů.</w:t>
      </w:r>
      <w:r w:rsidR="00746474" w:rsidRPr="00780967">
        <w:rPr>
          <w:sz w:val="18"/>
          <w:szCs w:val="18"/>
        </w:rPr>
        <w:t xml:space="preserve"> RDS</w:t>
      </w:r>
      <w:r w:rsidRPr="00780967">
        <w:rPr>
          <w:sz w:val="18"/>
          <w:szCs w:val="18"/>
        </w:rPr>
        <w:t xml:space="preserve"> se vždy zpracovává v případě, že to vyžadují TKP nebo požadavek na její zpracování</w:t>
      </w:r>
      <w:r w:rsidR="00746474" w:rsidRPr="00780967">
        <w:rPr>
          <w:sz w:val="18"/>
          <w:szCs w:val="18"/>
        </w:rPr>
        <w:t xml:space="preserve"> </w:t>
      </w:r>
      <w:r w:rsidRPr="00780967">
        <w:rPr>
          <w:sz w:val="18"/>
          <w:szCs w:val="18"/>
        </w:rPr>
        <w:t>vychází z předcházejícího stupně dokumentace nebo smluvního ujednání. RDS nemění</w:t>
      </w:r>
      <w:r w:rsidR="00746474" w:rsidRPr="00780967">
        <w:rPr>
          <w:sz w:val="18"/>
          <w:szCs w:val="18"/>
        </w:rPr>
        <w:t xml:space="preserve"> koncepčně-technické </w:t>
      </w:r>
      <w:r w:rsidRPr="00780967">
        <w:rPr>
          <w:sz w:val="18"/>
          <w:szCs w:val="18"/>
        </w:rPr>
        <w:t>řešení stavby navržené v rámci předcházející projektové přípravy,</w:t>
      </w:r>
      <w:r w:rsidR="00746474" w:rsidRPr="00780967">
        <w:rPr>
          <w:sz w:val="18"/>
          <w:szCs w:val="18"/>
        </w:rPr>
        <w:t xml:space="preserve"> pokud není OP stan</w:t>
      </w:r>
      <w:r w:rsidRPr="00780967">
        <w:rPr>
          <w:sz w:val="18"/>
          <w:szCs w:val="18"/>
        </w:rPr>
        <w:t>oveno jinak. Obsah a rozsah RDS je definován přílohou P8 SŽ SM011.</w:t>
      </w:r>
      <w:r w:rsidR="00746474" w:rsidRPr="00780967">
        <w:rPr>
          <w:sz w:val="18"/>
          <w:szCs w:val="18"/>
        </w:rPr>
        <w:t xml:space="preserve"> Náklady spojené se zpra</w:t>
      </w:r>
      <w:r w:rsidRPr="00780967">
        <w:rPr>
          <w:sz w:val="18"/>
          <w:szCs w:val="18"/>
        </w:rPr>
        <w:t>cováním RDS budou uvedené v samostatné položce</w:t>
      </w:r>
      <w:r w:rsidR="00746474" w:rsidRPr="00780967">
        <w:rPr>
          <w:sz w:val="18"/>
          <w:szCs w:val="18"/>
        </w:rPr>
        <w:t xml:space="preserve"> </w:t>
      </w:r>
      <w:r w:rsidRPr="00780967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B872DE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B872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B872DE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B872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B872DE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B872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B872DE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B872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B872DE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B872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B872DE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B872D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>oddíly, články a podčlánky</w:t>
      </w:r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B872DE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B872DE">
      <w:pPr>
        <w:pStyle w:val="Nadpis2-1"/>
        <w:ind w:left="709" w:hanging="709"/>
      </w:pPr>
      <w:bookmarkStart w:id="3" w:name="_Toc6410429"/>
      <w:bookmarkStart w:id="4" w:name="_Toc132615027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B872DE">
      <w:pPr>
        <w:pStyle w:val="Nadpis2-2"/>
        <w:ind w:left="709" w:hanging="709"/>
      </w:pPr>
      <w:bookmarkStart w:id="10" w:name="_Toc6410430"/>
      <w:bookmarkStart w:id="11" w:name="_Toc132615028"/>
      <w:r>
        <w:t>Účel a rozsah předmětu Díla</w:t>
      </w:r>
      <w:bookmarkEnd w:id="10"/>
      <w:bookmarkEnd w:id="11"/>
    </w:p>
    <w:p w14:paraId="144B4FC2" w14:textId="2D781BE2" w:rsidR="00DF7BAA" w:rsidRPr="00A16611" w:rsidRDefault="00DF7BAA" w:rsidP="00B872DE">
      <w:pPr>
        <w:pStyle w:val="Text2-1"/>
        <w:ind w:left="709" w:hanging="709"/>
      </w:pPr>
      <w:r w:rsidRPr="00A16611">
        <w:t>Předmětem díla je zhotovení stavby</w:t>
      </w:r>
      <w:r w:rsidR="007B47D8">
        <w:t xml:space="preserve"> „</w:t>
      </w:r>
      <w:r w:rsidR="00717095" w:rsidRPr="007B47D8">
        <w:rPr>
          <w:bCs/>
        </w:rPr>
        <w:t>Odstranění důlní škody Louky nad Olší -Karviná km 326,218 - 328,664 - zabezpečovací zařízení</w:t>
      </w:r>
      <w:r w:rsidR="007B47D8" w:rsidRPr="007B47D8">
        <w:rPr>
          <w:bCs/>
        </w:rPr>
        <w:t>“</w:t>
      </w:r>
      <w:r w:rsidR="007B47D8" w:rsidRPr="007B47D8">
        <w:rPr>
          <w:b/>
          <w:bCs/>
        </w:rPr>
        <w:t xml:space="preserve"> </w:t>
      </w:r>
      <w:r w:rsidRPr="00A16611">
        <w:t xml:space="preserve">jejímž cílem je </w:t>
      </w:r>
      <w:r w:rsidR="007B47D8" w:rsidRPr="007B47D8">
        <w:rPr>
          <w:color w:val="000000"/>
          <w:sz w:val="20"/>
          <w:szCs w:val="20"/>
        </w:rPr>
        <w:t xml:space="preserve">odstranit důlní škody - vlivem poddolování došlo poklesu nivelety koleje č. 2 v rozsahu </w:t>
      </w:r>
      <w:r w:rsidR="007B47D8" w:rsidRPr="00B267E3">
        <w:t>0 - 1,891 m</w:t>
      </w:r>
      <w:r w:rsidR="007B47D8">
        <w:t>.</w:t>
      </w:r>
      <w:r w:rsidR="007B47D8" w:rsidRPr="007B47D8">
        <w:rPr>
          <w:highlight w:val="green"/>
        </w:rPr>
        <w:t xml:space="preserve"> </w:t>
      </w:r>
    </w:p>
    <w:p w14:paraId="29AAB0CD" w14:textId="5667AE77" w:rsidR="00E70AB8" w:rsidRPr="00517E55" w:rsidRDefault="00A16611" w:rsidP="00B872DE">
      <w:pPr>
        <w:pStyle w:val="Text2-1"/>
        <w:tabs>
          <w:tab w:val="clear" w:pos="879"/>
          <w:tab w:val="num" w:pos="284"/>
        </w:tabs>
        <w:ind w:left="709" w:hanging="709"/>
      </w:pPr>
      <w:r w:rsidRPr="00517E55">
        <w:t xml:space="preserve">Rozsah Díla </w:t>
      </w:r>
      <w:r w:rsidR="007B47D8" w:rsidRPr="00A16611">
        <w:t>stavby</w:t>
      </w:r>
      <w:r w:rsidR="007B47D8">
        <w:t xml:space="preserve"> „</w:t>
      </w:r>
      <w:r w:rsidR="007B47D8" w:rsidRPr="007B47D8">
        <w:rPr>
          <w:bCs/>
        </w:rPr>
        <w:t>Odstranění důlní škody Louky nad Olší -Karviná km 326,218 - 328,664 - zabezpečovací zařízení“</w:t>
      </w:r>
      <w:r w:rsidRPr="00517E55">
        <w:t xml:space="preserve"> je </w:t>
      </w:r>
      <w:r w:rsidR="007B47D8">
        <w:t xml:space="preserve">realizace samotné stavby dle provozního souboru. </w:t>
      </w:r>
      <w:r w:rsidR="007B47D8" w:rsidRPr="009C0445">
        <w:t>Účelem provozního souboru je řešení zabezpečovacího zařízení, které bude dotčeno sanací koleje č. 2. V rámci sanace se demontují a zpětně namontují venkovní prvky zabezpečovacího a sdělovacího zařízení. Vnitřní výstroj se nebude měnit.</w:t>
      </w:r>
    </w:p>
    <w:p w14:paraId="7959D86F" w14:textId="71FD92F6" w:rsidR="00CE2A6B" w:rsidRDefault="00CE2A6B" w:rsidP="00B872DE">
      <w:pPr>
        <w:pStyle w:val="Text2-1"/>
        <w:ind w:left="709" w:hanging="709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06FEE6F8" w14:textId="6D77ADED" w:rsidR="00CE2A6B" w:rsidRPr="004D6432" w:rsidRDefault="00780967" w:rsidP="00780967">
      <w:pPr>
        <w:pStyle w:val="Text2-1"/>
        <w:numPr>
          <w:ilvl w:val="0"/>
          <w:numId w:val="0"/>
        </w:numPr>
        <w:ind w:left="709"/>
        <w:rPr>
          <w:highlight w:val="green"/>
        </w:rPr>
      </w:pPr>
      <w:r>
        <w:t>Není členěno</w:t>
      </w:r>
      <w:r w:rsidR="004D6432">
        <w:t>.</w:t>
      </w:r>
    </w:p>
    <w:p w14:paraId="3FFBD556" w14:textId="33E92913" w:rsidR="00517E55" w:rsidRPr="007E402F" w:rsidRDefault="00517E55" w:rsidP="00B872DE">
      <w:pPr>
        <w:pStyle w:val="Text2-1"/>
        <w:ind w:left="709" w:hanging="709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Pr="0034434A" w:rsidRDefault="00DF7BAA" w:rsidP="00B872DE">
      <w:pPr>
        <w:pStyle w:val="Nadpis2-2"/>
        <w:ind w:left="709" w:hanging="709"/>
      </w:pPr>
      <w:bookmarkStart w:id="12" w:name="_Toc6410431"/>
      <w:bookmarkStart w:id="13" w:name="_Toc132615029"/>
      <w:r w:rsidRPr="0034434A">
        <w:t>Umístění stavby</w:t>
      </w:r>
      <w:bookmarkEnd w:id="12"/>
      <w:bookmarkEnd w:id="13"/>
    </w:p>
    <w:p w14:paraId="4DFE4759" w14:textId="338B8EF1" w:rsidR="006972D4" w:rsidRDefault="00DF7BAA" w:rsidP="00B872DE">
      <w:pPr>
        <w:pStyle w:val="Text2-1"/>
        <w:ind w:left="709" w:hanging="709"/>
      </w:pPr>
      <w:r>
        <w:t xml:space="preserve">Stavba bude probíhat na trati </w:t>
      </w:r>
      <w:r w:rsidR="00B872DE">
        <w:rPr>
          <w:rFonts w:cs="Arial"/>
        </w:rPr>
        <w:t>Čadca - Bohumín</w:t>
      </w:r>
    </w:p>
    <w:p w14:paraId="46BB6011" w14:textId="7493E6CA" w:rsidR="00517E55" w:rsidRDefault="00517E55" w:rsidP="00B872DE">
      <w:pPr>
        <w:pStyle w:val="Text2-1"/>
        <w:numPr>
          <w:ilvl w:val="0"/>
          <w:numId w:val="0"/>
        </w:numPr>
        <w:ind w:left="709"/>
      </w:pPr>
      <w:r>
        <w:t>Kraj:</w:t>
      </w:r>
      <w:r w:rsidR="004D6432">
        <w:t xml:space="preserve"> </w:t>
      </w:r>
      <w:r w:rsidR="004D6432" w:rsidRPr="00214560">
        <w:t>Moravskoslezský</w:t>
      </w:r>
    </w:p>
    <w:p w14:paraId="50C118F7" w14:textId="3B71BD67" w:rsidR="00517E55" w:rsidRDefault="00517E55" w:rsidP="00B872DE">
      <w:pPr>
        <w:pStyle w:val="Text2-1"/>
        <w:numPr>
          <w:ilvl w:val="0"/>
          <w:numId w:val="0"/>
        </w:numPr>
        <w:ind w:left="709"/>
      </w:pPr>
      <w:r>
        <w:t xml:space="preserve">Okres: </w:t>
      </w:r>
      <w:r w:rsidR="00FC7AC9">
        <w:t>Karviná</w:t>
      </w:r>
    </w:p>
    <w:p w14:paraId="2BC5441F" w14:textId="24CEEFF0" w:rsidR="00517E55" w:rsidRDefault="00517E55" w:rsidP="00B872DE">
      <w:pPr>
        <w:pStyle w:val="Text2-1"/>
        <w:numPr>
          <w:ilvl w:val="0"/>
          <w:numId w:val="0"/>
        </w:numPr>
        <w:ind w:left="709"/>
      </w:pPr>
      <w:r>
        <w:t>Obec:</w:t>
      </w:r>
      <w:r w:rsidR="004D6432">
        <w:t xml:space="preserve"> </w:t>
      </w:r>
      <w:r w:rsidR="00B872DE">
        <w:t>Louky nad Olší</w:t>
      </w:r>
    </w:p>
    <w:p w14:paraId="03957CE5" w14:textId="150FC196" w:rsidR="00517E55" w:rsidRDefault="00517E55" w:rsidP="00B872DE">
      <w:pPr>
        <w:pStyle w:val="Text2-1"/>
        <w:numPr>
          <w:ilvl w:val="0"/>
          <w:numId w:val="0"/>
        </w:numPr>
        <w:ind w:left="709"/>
      </w:pPr>
      <w:r>
        <w:t xml:space="preserve">TUDU: </w:t>
      </w:r>
      <w:r w:rsidR="00C12A47">
        <w:t>250112</w:t>
      </w:r>
    </w:p>
    <w:p w14:paraId="435EFF91" w14:textId="08C7A0B2" w:rsidR="00BE5E8D" w:rsidRDefault="00517E55" w:rsidP="00B872DE">
      <w:pPr>
        <w:pStyle w:val="Text2-1"/>
        <w:numPr>
          <w:ilvl w:val="0"/>
          <w:numId w:val="0"/>
        </w:numPr>
        <w:ind w:left="709"/>
      </w:pPr>
      <w:r>
        <w:t xml:space="preserve">Katastrální území: </w:t>
      </w:r>
      <w:r w:rsidR="00BE5E8D">
        <w:t xml:space="preserve">Louky nad Olší </w:t>
      </w:r>
      <w:r w:rsidR="00C12A47">
        <w:t>(687308)</w:t>
      </w:r>
    </w:p>
    <w:p w14:paraId="6B122B61" w14:textId="77777777" w:rsidR="00B872DE" w:rsidRDefault="00B872DE" w:rsidP="00B872DE">
      <w:pPr>
        <w:pStyle w:val="Text2-1"/>
        <w:numPr>
          <w:ilvl w:val="0"/>
          <w:numId w:val="0"/>
        </w:numPr>
        <w:ind w:firstLine="709"/>
      </w:pPr>
      <w:r>
        <w:t>P.č. dotčeného pozemku: 2715/6; 2430</w:t>
      </w:r>
    </w:p>
    <w:p w14:paraId="5B0D440E" w14:textId="65D1B54F" w:rsidR="00F87175" w:rsidRDefault="0034434A" w:rsidP="00B872DE">
      <w:pPr>
        <w:pStyle w:val="Text2-1"/>
        <w:numPr>
          <w:ilvl w:val="0"/>
          <w:numId w:val="0"/>
        </w:numPr>
        <w:ind w:left="709"/>
      </w:pPr>
      <w:r>
        <w:t>Trakce: 3kV ss</w:t>
      </w:r>
    </w:p>
    <w:p w14:paraId="481509A7" w14:textId="77777777" w:rsidR="00DF7BAA" w:rsidRDefault="00DF7BAA" w:rsidP="00B872DE">
      <w:pPr>
        <w:pStyle w:val="Nadpis2-1"/>
        <w:ind w:left="709" w:hanging="709"/>
      </w:pPr>
      <w:bookmarkStart w:id="14" w:name="_Toc6410432"/>
      <w:bookmarkStart w:id="15" w:name="_Toc132615030"/>
      <w:r>
        <w:t>PŘEHLED VÝCHOZÍCH PODKLADŮ</w:t>
      </w:r>
      <w:bookmarkEnd w:id="14"/>
      <w:bookmarkEnd w:id="15"/>
    </w:p>
    <w:p w14:paraId="7153DAFA" w14:textId="63A98889" w:rsidR="00615BEC" w:rsidRDefault="00DF7BAA" w:rsidP="00B872DE">
      <w:pPr>
        <w:pStyle w:val="Nadpis2-2"/>
        <w:ind w:left="709" w:hanging="709"/>
      </w:pPr>
      <w:bookmarkStart w:id="16" w:name="_Toc6410433"/>
      <w:bookmarkStart w:id="17" w:name="_Toc132615031"/>
      <w:r>
        <w:t>Projektová dokumentace</w:t>
      </w:r>
      <w:bookmarkEnd w:id="16"/>
      <w:bookmarkEnd w:id="17"/>
    </w:p>
    <w:p w14:paraId="02BE1DF7" w14:textId="4FCDCBA8" w:rsidR="00615BEC" w:rsidRDefault="0002642A" w:rsidP="00B872DE">
      <w:pPr>
        <w:pStyle w:val="Text2-1"/>
        <w:ind w:left="709" w:hanging="709"/>
      </w:pPr>
      <w:r w:rsidRPr="008D440D">
        <w:t xml:space="preserve">Projektová dokumentace na stavbu </w:t>
      </w:r>
      <w:r w:rsidR="004D6432">
        <w:t>„</w:t>
      </w:r>
      <w:r w:rsidR="004D6432" w:rsidRPr="007B47D8">
        <w:rPr>
          <w:bCs/>
        </w:rPr>
        <w:t>Odstranění důlní škody Louky nad Olší -Karviná km 326,218 - 328,664 - zabezpečovací zařízení“</w:t>
      </w:r>
      <w:r w:rsidRPr="008D440D">
        <w:t>, není vyhotovena. Její obsah nahrazuj</w:t>
      </w:r>
      <w:r w:rsidR="00860F4E">
        <w:t>í dokumenty uvedené v</w:t>
      </w:r>
      <w:r w:rsidRPr="008D440D">
        <w:t xml:space="preserve"> Díl</w:t>
      </w:r>
      <w:r w:rsidR="00860F4E">
        <w:t>u</w:t>
      </w:r>
      <w:r w:rsidRPr="008D440D">
        <w:t xml:space="preserve"> 3 Zadávací dokumentace</w:t>
      </w:r>
      <w:r w:rsidR="00860F4E">
        <w:t xml:space="preserve">, případně dalších částech Zadávací dokumentace. </w:t>
      </w:r>
      <w:bookmarkStart w:id="18" w:name="_Hlk121215263"/>
    </w:p>
    <w:p w14:paraId="0A614007" w14:textId="77777777" w:rsidR="003B3CA2" w:rsidRDefault="00DF7BAA" w:rsidP="003B3CA2">
      <w:pPr>
        <w:pStyle w:val="Nadpis2-2"/>
        <w:ind w:left="709" w:hanging="709"/>
      </w:pPr>
      <w:bookmarkStart w:id="19" w:name="_Toc6410434"/>
      <w:bookmarkStart w:id="20" w:name="_Toc132615032"/>
      <w:bookmarkEnd w:id="18"/>
      <w:r w:rsidRPr="00185E6C">
        <w:t>Související dokumentace</w:t>
      </w:r>
      <w:bookmarkEnd w:id="19"/>
      <w:bookmarkEnd w:id="20"/>
    </w:p>
    <w:p w14:paraId="6F27E273" w14:textId="3A9F3FD9" w:rsidR="001D35FE" w:rsidRPr="008975AC" w:rsidRDefault="00AD59B7" w:rsidP="003B3CA2">
      <w:pPr>
        <w:pStyle w:val="Text2-1"/>
        <w:tabs>
          <w:tab w:val="clear" w:pos="879"/>
          <w:tab w:val="num" w:pos="709"/>
        </w:tabs>
        <w:ind w:hanging="879"/>
      </w:pPr>
      <w:r w:rsidRPr="00AB2765">
        <w:t>Stavba nepodléhá stavebnímu či jinému řízení</w:t>
      </w:r>
      <w:r>
        <w:t xml:space="preserve">. </w:t>
      </w:r>
      <w:r w:rsidR="004D6432">
        <w:t xml:space="preserve"> </w:t>
      </w:r>
      <w:bookmarkStart w:id="21" w:name="_Hlk121215475"/>
    </w:p>
    <w:p w14:paraId="68275920" w14:textId="77777777" w:rsidR="00DF7BAA" w:rsidRDefault="00DF7BAA" w:rsidP="00B872DE">
      <w:pPr>
        <w:pStyle w:val="Nadpis2-1"/>
        <w:ind w:left="709" w:hanging="709"/>
      </w:pPr>
      <w:bookmarkStart w:id="22" w:name="_Toc6410435"/>
      <w:bookmarkStart w:id="23" w:name="_Toc132615033"/>
      <w:bookmarkEnd w:id="21"/>
      <w:r>
        <w:t>KOORDINACE S JINÝMI STAVBAMI</w:t>
      </w:r>
      <w:bookmarkEnd w:id="22"/>
      <w:bookmarkEnd w:id="23"/>
      <w:r>
        <w:t xml:space="preserve"> </w:t>
      </w:r>
    </w:p>
    <w:p w14:paraId="3B43593D" w14:textId="77777777" w:rsidR="00BA5611" w:rsidRDefault="00DF7BAA" w:rsidP="00B872DE">
      <w:pPr>
        <w:pStyle w:val="Text2-1"/>
        <w:ind w:left="709" w:hanging="709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4850D5F0" w14:textId="4AC67A01" w:rsidR="004D6432" w:rsidRPr="00E45C54" w:rsidRDefault="00DF7BAA" w:rsidP="00B872DE">
      <w:pPr>
        <w:pStyle w:val="Text2-1"/>
        <w:ind w:left="709" w:hanging="709"/>
      </w:pPr>
      <w:r w:rsidRPr="008170FD">
        <w:t xml:space="preserve">Koordinace musí probíhat zejména </w:t>
      </w:r>
      <w:r w:rsidR="004D6432" w:rsidRPr="00E45C54">
        <w:t>s</w:t>
      </w:r>
      <w:r w:rsidR="004D6432">
        <w:t> realizací železničního svršku, spodku a trakčního vedení.</w:t>
      </w:r>
    </w:p>
    <w:p w14:paraId="32E3FFCA" w14:textId="77777777" w:rsidR="00DF7BAA" w:rsidRDefault="0025048A" w:rsidP="00B872DE">
      <w:pPr>
        <w:pStyle w:val="Nadpis2-1"/>
        <w:ind w:left="709" w:hanging="709"/>
      </w:pPr>
      <w:bookmarkStart w:id="24" w:name="_Toc6410436"/>
      <w:bookmarkStart w:id="25" w:name="_Toc132615034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B872DE">
      <w:pPr>
        <w:pStyle w:val="Nadpis2-2"/>
        <w:ind w:left="709" w:hanging="709"/>
      </w:pPr>
      <w:bookmarkStart w:id="26" w:name="_Toc6410437"/>
      <w:bookmarkStart w:id="27" w:name="_Toc132615035"/>
      <w:r>
        <w:t>Všeobecně</w:t>
      </w:r>
      <w:bookmarkEnd w:id="26"/>
      <w:bookmarkEnd w:id="27"/>
    </w:p>
    <w:p w14:paraId="65F9A068" w14:textId="77777777" w:rsidR="003B0494" w:rsidRDefault="003B0494" w:rsidP="00B872DE">
      <w:pPr>
        <w:pStyle w:val="Text2-1"/>
        <w:ind w:left="709" w:hanging="709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B872DE">
      <w:pPr>
        <w:pStyle w:val="Text2-1"/>
        <w:ind w:left="709" w:hanging="709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33B0DD43" w:rsidR="003B0494" w:rsidRPr="003B0494" w:rsidRDefault="003B0494" w:rsidP="006C4F94">
      <w:pPr>
        <w:pStyle w:val="Text2-2"/>
        <w:tabs>
          <w:tab w:val="clear" w:pos="1531"/>
          <w:tab w:val="num" w:pos="2410"/>
        </w:tabs>
        <w:ind w:left="1701" w:hanging="992"/>
      </w:pPr>
      <w:r w:rsidRPr="003B0494">
        <w:t>V čl. 1.1.2 TKP, odst. 1 se u odrážky „Projektová dokumentace (dále jen</w:t>
      </w:r>
      <w:r w:rsidR="003B3CA2">
        <w:t xml:space="preserve"> </w:t>
      </w:r>
      <w:r w:rsidRPr="003B0494">
        <w:t>„Dokumentace“) …</w:t>
      </w:r>
      <w:r w:rsidR="00E75853" w:rsidRPr="003B0494">
        <w:t>“, vypouští</w:t>
      </w:r>
      <w:r w:rsidRPr="003B0494">
        <w:t xml:space="preserve"> text „…resp. vyhlášky č. 583/2020 Sb.…“. </w:t>
      </w:r>
    </w:p>
    <w:p w14:paraId="6624CD33" w14:textId="0A77ECD5" w:rsidR="003B0494" w:rsidRPr="003B0494" w:rsidRDefault="003B0494" w:rsidP="006C4F94">
      <w:pPr>
        <w:pStyle w:val="Text2-2"/>
        <w:tabs>
          <w:tab w:val="clear" w:pos="1531"/>
        </w:tabs>
        <w:ind w:left="1701" w:hanging="99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 xml:space="preserve">…“ se </w:t>
      </w:r>
      <w:r w:rsidR="00E75853" w:rsidRPr="003B0494">
        <w:t xml:space="preserve">mění </w:t>
      </w:r>
      <w:r w:rsidR="00E75853">
        <w:t>na</w:t>
      </w:r>
      <w:r w:rsidRPr="003B0494">
        <w:t xml:space="preserve"> „…nejméně 2 pracovní dny před termínem …“.</w:t>
      </w:r>
    </w:p>
    <w:p w14:paraId="2CE0FF76" w14:textId="7E8D459D" w:rsidR="003B0494" w:rsidRPr="003B0494" w:rsidRDefault="003B0494" w:rsidP="0006459B">
      <w:pPr>
        <w:pStyle w:val="Text2-2"/>
        <w:tabs>
          <w:tab w:val="clear" w:pos="1531"/>
        </w:tabs>
        <w:ind w:left="1701" w:hanging="992"/>
      </w:pPr>
      <w:r w:rsidRPr="003B0494">
        <w:t>V čl. 1.7.1 TKP, odst. 1 se doplňuje text „…se zásadami směrnice SŽ SM011</w:t>
      </w:r>
      <w:r w:rsidR="000258E6">
        <w:t xml:space="preserve"> </w:t>
      </w:r>
      <w:r w:rsidR="003B3CA2">
        <w:t xml:space="preserve">  </w:t>
      </w:r>
      <w:r w:rsidR="000258E6">
        <w:t>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10B5A566" w:rsidR="003B0494" w:rsidRPr="003B0494" w:rsidRDefault="003B3CA2" w:rsidP="003B3CA2">
      <w:pPr>
        <w:pStyle w:val="Text2-2"/>
        <w:ind w:left="1418" w:hanging="709"/>
      </w:pPr>
      <w:r>
        <w:t xml:space="preserve"> </w:t>
      </w:r>
      <w:r w:rsidR="0006459B">
        <w:t xml:space="preserve">   </w:t>
      </w:r>
      <w:r w:rsidR="003B0494" w:rsidRPr="003B0494">
        <w:t>Čl. 1.7.3.2 TKP, odst. 1 se ruší</w:t>
      </w:r>
      <w:r w:rsidR="00F04838">
        <w:t>.</w:t>
      </w:r>
    </w:p>
    <w:p w14:paraId="13EDD7E0" w14:textId="45984936" w:rsidR="003B0494" w:rsidRPr="003B0494" w:rsidRDefault="003B3CA2" w:rsidP="003B3CA2">
      <w:pPr>
        <w:pStyle w:val="Text2-2"/>
        <w:ind w:left="1418" w:hanging="709"/>
      </w:pPr>
      <w:r>
        <w:t xml:space="preserve"> </w:t>
      </w:r>
      <w:r w:rsidR="0006459B">
        <w:t xml:space="preserve">   </w:t>
      </w:r>
      <w:r w:rsidR="003B0494" w:rsidRPr="003B0494">
        <w:t xml:space="preserve">Čl. </w:t>
      </w:r>
      <w:bookmarkStart w:id="29" w:name="_Hlk115950514"/>
      <w:r w:rsidR="003B0494" w:rsidRPr="003B0494">
        <w:t xml:space="preserve">1.7.3.2 TKP, odst. 7 </w:t>
      </w:r>
      <w:bookmarkEnd w:id="29"/>
      <w:r w:rsidR="003B0494" w:rsidRPr="003B0494">
        <w:t>se ruší.</w:t>
      </w:r>
    </w:p>
    <w:p w14:paraId="267F5656" w14:textId="5A1830D4" w:rsidR="003B0494" w:rsidRPr="003B0494" w:rsidRDefault="003B3CA2" w:rsidP="003B3CA2">
      <w:pPr>
        <w:pStyle w:val="Text2-2"/>
        <w:ind w:left="1418" w:hanging="709"/>
      </w:pPr>
      <w:r>
        <w:t xml:space="preserve">  </w:t>
      </w:r>
      <w:r w:rsidR="0006459B">
        <w:t xml:space="preserve">  </w:t>
      </w:r>
      <w:r w:rsidR="003B0494" w:rsidRPr="003B0494">
        <w:t>Čl. 1.7.3.3 TKP, odst. 1 se mění takto:</w:t>
      </w:r>
    </w:p>
    <w:p w14:paraId="7E1FF04A" w14:textId="145B8ADE" w:rsidR="003B0494" w:rsidRDefault="003B3CA2" w:rsidP="0006459B">
      <w:pPr>
        <w:pStyle w:val="Text2-2"/>
        <w:numPr>
          <w:ilvl w:val="0"/>
          <w:numId w:val="0"/>
        </w:numPr>
        <w:ind w:left="1701" w:hanging="708"/>
      </w:pPr>
      <w:r>
        <w:t xml:space="preserve">         </w:t>
      </w:r>
      <w:r w:rsidR="0006459B">
        <w:t xml:space="preserve">  </w:t>
      </w:r>
      <w:r w:rsidR="003B0494" w:rsidRPr="003B0494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2A5238ED" w14:textId="38DFCB76" w:rsidR="00EB6387" w:rsidRPr="00F23487" w:rsidRDefault="0006459B" w:rsidP="0006459B">
      <w:pPr>
        <w:pStyle w:val="Text2-2"/>
        <w:ind w:left="1418" w:hanging="709"/>
      </w:pPr>
      <w:r>
        <w:t xml:space="preserve">    </w:t>
      </w:r>
      <w:r w:rsidR="00EB6387" w:rsidRPr="00F23487">
        <w:t xml:space="preserve">V čl. 1.7.3.5 TKP, odst.1 se mění takto: </w:t>
      </w:r>
    </w:p>
    <w:p w14:paraId="2F5EA142" w14:textId="35071053" w:rsidR="00EB6387" w:rsidRDefault="00EB6387" w:rsidP="0006459B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</w:t>
      </w:r>
      <w:r w:rsidR="0006459B">
        <w:t xml:space="preserve"> </w:t>
      </w:r>
      <w:r w:rsidRPr="00F23487">
        <w:t>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3BBA9106" w:rsidR="00EB6387" w:rsidRDefault="0006459B" w:rsidP="0006459B">
      <w:pPr>
        <w:pStyle w:val="Text2-2"/>
        <w:tabs>
          <w:tab w:val="clear" w:pos="1531"/>
          <w:tab w:val="num" w:pos="1560"/>
        </w:tabs>
        <w:ind w:left="1418" w:hanging="709"/>
      </w:pPr>
      <w:r>
        <w:t xml:space="preserve">    </w:t>
      </w:r>
      <w:r w:rsidR="00EB6387" w:rsidRPr="00EB6387">
        <w:t>V čl. 1.7.3.5 TKP, se ruší odstavce 5 a 6.</w:t>
      </w:r>
    </w:p>
    <w:p w14:paraId="7DA96C7C" w14:textId="2E236922" w:rsidR="00EB6387" w:rsidRDefault="0006459B" w:rsidP="0006459B">
      <w:pPr>
        <w:pStyle w:val="Text2-2"/>
        <w:ind w:left="1418" w:hanging="709"/>
      </w:pPr>
      <w:r>
        <w:t xml:space="preserve">    </w:t>
      </w:r>
      <w:r w:rsidR="00EB6387" w:rsidRPr="00EB6387">
        <w:t>Čl.</w:t>
      </w:r>
      <w:r w:rsidR="00EB6387">
        <w:t xml:space="preserve"> </w:t>
      </w:r>
      <w:r w:rsidR="00EB6387" w:rsidRPr="00EB6387">
        <w:t>1.8.2 TKP, odst. 6 písm. a) se doplňuje textem „…byla-li RDS zpracována</w:t>
      </w:r>
      <w:bookmarkStart w:id="30" w:name="_Hlk115329733"/>
      <w:bookmarkStart w:id="31" w:name="_Hlk115427294"/>
      <w:r w:rsidR="00EB6387" w:rsidRPr="00EB6387">
        <w:t>…“</w:t>
      </w:r>
      <w:bookmarkEnd w:id="30"/>
      <w:r w:rsidR="00EB6387" w:rsidRPr="00EB6387">
        <w:t>.</w:t>
      </w:r>
      <w:bookmarkEnd w:id="31"/>
    </w:p>
    <w:p w14:paraId="67B3D152" w14:textId="54CE1F95" w:rsidR="00F832AA" w:rsidRPr="00F832AA" w:rsidRDefault="0006459B" w:rsidP="0006459B">
      <w:pPr>
        <w:pStyle w:val="Text2-2"/>
        <w:ind w:left="1418" w:hanging="709"/>
      </w:pPr>
      <w:r>
        <w:t xml:space="preserve">  </w:t>
      </w:r>
      <w:r w:rsidR="00F832AA" w:rsidRPr="00F832AA">
        <w:t>Čl. 1.8.2 TKP, odst. 7 se ruší.</w:t>
      </w:r>
    </w:p>
    <w:p w14:paraId="787235CA" w14:textId="71248D17" w:rsidR="00F832AA" w:rsidRPr="00F832AA" w:rsidRDefault="0006459B" w:rsidP="0006459B">
      <w:pPr>
        <w:pStyle w:val="Text2-2"/>
        <w:ind w:left="1418" w:hanging="709"/>
      </w:pPr>
      <w:r>
        <w:t xml:space="preserve">  </w:t>
      </w:r>
      <w:r w:rsidR="00F832AA" w:rsidRPr="00F832AA">
        <w:t xml:space="preserve">V čl. 1.8.3.1 TKP, odst. 2 se ruší text </w:t>
      </w:r>
      <w:bookmarkStart w:id="32" w:name="_Hlk115877962"/>
      <w:r w:rsidR="00F832AA" w:rsidRPr="00F832AA">
        <w:t>„…</w:t>
      </w:r>
      <w:bookmarkEnd w:id="32"/>
      <w:r w:rsidR="00F832AA" w:rsidRPr="00F832AA">
        <w:t xml:space="preserve"> tj. zpravidla Stavební správa SŽ</w:t>
      </w:r>
      <w:bookmarkStart w:id="33" w:name="_Hlk115334079"/>
      <w:r w:rsidR="00F832AA" w:rsidRPr="00F832AA">
        <w:t>…“.</w:t>
      </w:r>
      <w:bookmarkEnd w:id="33"/>
    </w:p>
    <w:p w14:paraId="50868204" w14:textId="3C0F50FE" w:rsidR="00F832AA" w:rsidRPr="00F832AA" w:rsidRDefault="0006459B" w:rsidP="0006459B">
      <w:pPr>
        <w:pStyle w:val="Text2-2"/>
        <w:tabs>
          <w:tab w:val="clear" w:pos="1531"/>
        </w:tabs>
        <w:ind w:left="1701" w:hanging="992"/>
      </w:pPr>
      <w:r>
        <w:t>V</w:t>
      </w:r>
      <w:r w:rsidR="00F832AA" w:rsidRPr="00F832AA">
        <w:t xml:space="preserve"> čl. 1.9.2 TKP, odst. 3 se mění lhůta z 14 kalendářních dní na 7 kalendářních dní.</w:t>
      </w:r>
    </w:p>
    <w:p w14:paraId="5336A234" w14:textId="2D14ED05" w:rsidR="00F832AA" w:rsidRPr="00F832AA" w:rsidRDefault="00F832AA" w:rsidP="0006459B">
      <w:pPr>
        <w:pStyle w:val="Text2-2"/>
        <w:tabs>
          <w:tab w:val="clear" w:pos="1531"/>
          <w:tab w:val="num" w:pos="1843"/>
        </w:tabs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3191EC95" w:rsidR="001A001A" w:rsidRPr="001A001A" w:rsidRDefault="0006459B" w:rsidP="0006459B">
      <w:pPr>
        <w:pStyle w:val="Text2-2"/>
        <w:ind w:left="1418" w:hanging="709"/>
      </w:pPr>
      <w:r>
        <w:t xml:space="preserve">   </w:t>
      </w:r>
      <w:r w:rsidR="001A001A" w:rsidRPr="001A001A">
        <w:t>Čl. 1.9.2 TKP, odst. 7 se ruší.</w:t>
      </w:r>
    </w:p>
    <w:p w14:paraId="0AF2C3F2" w14:textId="2283BF53" w:rsidR="001A001A" w:rsidRDefault="0006459B" w:rsidP="0006459B">
      <w:pPr>
        <w:pStyle w:val="Text2-2"/>
        <w:ind w:left="1418" w:hanging="709"/>
      </w:pPr>
      <w:r>
        <w:t xml:space="preserve">   </w:t>
      </w:r>
      <w:r w:rsidR="001A001A">
        <w:t xml:space="preserve">Čl. 1.9.4 TKP, odst. 2 se mění takto: </w:t>
      </w:r>
    </w:p>
    <w:p w14:paraId="1E53D822" w14:textId="77777777" w:rsidR="00EB6387" w:rsidRPr="00EB6387" w:rsidRDefault="001A001A" w:rsidP="006C4F94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4024FBFD" w:rsidR="001A001A" w:rsidRPr="001A001A" w:rsidRDefault="0006459B" w:rsidP="0006459B">
      <w:pPr>
        <w:pStyle w:val="Text2-2"/>
        <w:ind w:left="1418" w:hanging="709"/>
      </w:pPr>
      <w:r>
        <w:lastRenderedPageBreak/>
        <w:t xml:space="preserve">  </w:t>
      </w:r>
      <w:r w:rsidR="001A001A" w:rsidRPr="001A001A">
        <w:t>Čl. 1.9.4 TKP, odst.5 se mění takto:</w:t>
      </w:r>
    </w:p>
    <w:p w14:paraId="755F332C" w14:textId="77777777" w:rsidR="001A001A" w:rsidRDefault="001A001A" w:rsidP="0006459B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68D7DC70" w:rsidR="002E5B84" w:rsidRPr="002E5B84" w:rsidRDefault="0006459B" w:rsidP="0006459B">
      <w:pPr>
        <w:pStyle w:val="Text2-2"/>
        <w:ind w:left="1418" w:hanging="709"/>
      </w:pPr>
      <w:r>
        <w:t xml:space="preserve">  </w:t>
      </w:r>
      <w:r w:rsidR="002E5B84" w:rsidRPr="002E5B84">
        <w:t xml:space="preserve">V čl. </w:t>
      </w:r>
      <w:bookmarkStart w:id="34" w:name="_Hlk115953274"/>
      <w:r w:rsidR="002E5B84" w:rsidRPr="002E5B84">
        <w:t xml:space="preserve">1.9.5.1 TKP, odst. 1, </w:t>
      </w:r>
      <w:bookmarkEnd w:id="34"/>
      <w:r w:rsidR="002E5B84" w:rsidRPr="002E5B84">
        <w:t>písm. e) se mění lhůta z 21 dnů na 7 dnů.</w:t>
      </w:r>
    </w:p>
    <w:p w14:paraId="56F76875" w14:textId="328D7768" w:rsidR="002E5B84" w:rsidRPr="002E5B84" w:rsidRDefault="0006459B" w:rsidP="0006459B">
      <w:pPr>
        <w:pStyle w:val="Text2-2"/>
        <w:ind w:left="1418" w:hanging="709"/>
      </w:pPr>
      <w:r>
        <w:t xml:space="preserve">  </w:t>
      </w:r>
      <w:r w:rsidR="002E5B84" w:rsidRPr="002E5B84">
        <w:t>Čl. 1.9.5.1 TKP, odst. 3 se ruší.</w:t>
      </w:r>
    </w:p>
    <w:p w14:paraId="6C6F3129" w14:textId="393444BB" w:rsidR="002E5B84" w:rsidRPr="002E5B84" w:rsidRDefault="0006459B" w:rsidP="0006459B">
      <w:pPr>
        <w:pStyle w:val="Text2-2"/>
        <w:ind w:left="1418" w:hanging="709"/>
      </w:pPr>
      <w:r>
        <w:t xml:space="preserve">  </w:t>
      </w:r>
      <w:r w:rsidR="002E5B84" w:rsidRPr="002E5B84">
        <w:t>V čl. 1.10.5.2 TKP, odst. 3 se ruší text „… (zpravidla Stavební správa)“.</w:t>
      </w:r>
    </w:p>
    <w:p w14:paraId="00BDD7E0" w14:textId="4B896BEB" w:rsidR="002E5B84" w:rsidRPr="002E5B84" w:rsidRDefault="002E5B84" w:rsidP="006C4F94">
      <w:pPr>
        <w:pStyle w:val="Text2-2"/>
        <w:tabs>
          <w:tab w:val="clear" w:pos="1531"/>
          <w:tab w:val="num" w:pos="1843"/>
        </w:tabs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5CB2A01F" w:rsidR="00DF7856" w:rsidRPr="00DF7856" w:rsidRDefault="0006459B" w:rsidP="006C4F94">
      <w:pPr>
        <w:pStyle w:val="Text2-2"/>
        <w:ind w:left="1560" w:hanging="851"/>
      </w:pPr>
      <w:r>
        <w:t xml:space="preserve">   </w:t>
      </w:r>
      <w:r w:rsidR="00DF7856" w:rsidRPr="00DF7856">
        <w:t>Čl. 1.10.9.3 TKP, odst. 7 se ruší.</w:t>
      </w:r>
    </w:p>
    <w:p w14:paraId="001931A6" w14:textId="019FDAE0" w:rsidR="00DF7856" w:rsidRPr="00DF7856" w:rsidRDefault="0006459B" w:rsidP="0006459B">
      <w:pPr>
        <w:pStyle w:val="Text2-2"/>
        <w:ind w:left="1701" w:hanging="992"/>
      </w:pPr>
      <w:r>
        <w:t xml:space="preserve">   </w:t>
      </w:r>
      <w:r w:rsidR="00DF7856"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 w:rsidR="00DF7856">
        <w:t>.</w:t>
      </w:r>
    </w:p>
    <w:p w14:paraId="61924C83" w14:textId="7A42474F" w:rsidR="00DF7856" w:rsidRPr="00DF7856" w:rsidRDefault="0006459B" w:rsidP="0006459B">
      <w:pPr>
        <w:pStyle w:val="Text2-2"/>
        <w:ind w:left="1701" w:hanging="992"/>
      </w:pPr>
      <w:r>
        <w:t xml:space="preserve">   </w:t>
      </w:r>
      <w:r w:rsidR="00DF7856" w:rsidRPr="00DF7856">
        <w:t>V čl. 1.11.3 TKP, odst. 4, písm. d) se mění počet 4 souprav závěrových tabulek na 3 soupravy závěrových tabulek.</w:t>
      </w:r>
    </w:p>
    <w:p w14:paraId="448E1D50" w14:textId="3F437DF9" w:rsidR="002E5B84" w:rsidRDefault="0006459B" w:rsidP="0006459B">
      <w:pPr>
        <w:pStyle w:val="Text2-2"/>
        <w:ind w:left="709" w:firstLine="0"/>
      </w:pPr>
      <w:r>
        <w:t xml:space="preserve">   </w:t>
      </w:r>
      <w:r w:rsidR="00DF7856" w:rsidRPr="00DF7856">
        <w:t>V čl. 1.11.3 TKP, odst. 4, písm. e) se mění takto:</w:t>
      </w:r>
    </w:p>
    <w:p w14:paraId="1B075C28" w14:textId="6A780F5E" w:rsidR="00DF7856" w:rsidRDefault="00DF7856" w:rsidP="00EA26D5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EA26D5">
      <w:pPr>
        <w:pStyle w:val="Text2-2"/>
        <w:tabs>
          <w:tab w:val="clear" w:pos="1531"/>
          <w:tab w:val="num" w:pos="1701"/>
        </w:tabs>
        <w:ind w:left="709" w:firstLine="0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EA26D5">
      <w:pPr>
        <w:pStyle w:val="Text2-2"/>
        <w:tabs>
          <w:tab w:val="clear" w:pos="1531"/>
          <w:tab w:val="num" w:pos="1701"/>
        </w:tabs>
        <w:ind w:left="1701" w:hanging="992"/>
      </w:pPr>
      <w:r w:rsidRPr="00C2573F">
        <w:t xml:space="preserve">V čl. 1.11.5 TKP, odst. 2 se vypouští text: </w:t>
      </w:r>
      <w:bookmarkStart w:id="35" w:name="_Hlk115869021"/>
      <w:r w:rsidRPr="00C2573F">
        <w:t>„…</w:t>
      </w:r>
      <w:bookmarkEnd w:id="35"/>
      <w:r w:rsidRPr="00C2573F">
        <w:t>a v podrobnostech směrnice SŽ SM011“</w:t>
      </w:r>
    </w:p>
    <w:p w14:paraId="5ABBE8F9" w14:textId="77777777" w:rsidR="00DF7856" w:rsidRPr="005D336A" w:rsidRDefault="00DF7856" w:rsidP="00497265">
      <w:pPr>
        <w:pStyle w:val="Text2-2"/>
        <w:tabs>
          <w:tab w:val="clear" w:pos="1531"/>
          <w:tab w:val="num" w:pos="1701"/>
        </w:tabs>
        <w:ind w:left="709" w:firstLine="0"/>
      </w:pPr>
      <w:r w:rsidRPr="005D336A">
        <w:t>Čl. 1.11.5.1 TKP, odst. 3 se mění takto:</w:t>
      </w:r>
    </w:p>
    <w:p w14:paraId="75E57AD6" w14:textId="7C84362D" w:rsidR="00DF7856" w:rsidRPr="008C4EA5" w:rsidRDefault="00DF7856" w:rsidP="00497265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864A51">
      <w:pPr>
        <w:pStyle w:val="Text2-2"/>
        <w:tabs>
          <w:tab w:val="clear" w:pos="1531"/>
          <w:tab w:val="num" w:pos="1701"/>
        </w:tabs>
        <w:ind w:left="709" w:firstLine="0"/>
      </w:pPr>
      <w:r>
        <w:t>Čl. 1.11.5.1 TKP, odst. 4 se ruší.</w:t>
      </w:r>
    </w:p>
    <w:p w14:paraId="21938E47" w14:textId="77777777" w:rsidR="004C1240" w:rsidRPr="004C1240" w:rsidRDefault="004C1240" w:rsidP="00864A51">
      <w:pPr>
        <w:pStyle w:val="Text2-2"/>
        <w:tabs>
          <w:tab w:val="clear" w:pos="1531"/>
          <w:tab w:val="num" w:pos="1701"/>
        </w:tabs>
        <w:ind w:left="709" w:firstLine="0"/>
      </w:pPr>
      <w:r w:rsidRPr="004C1240">
        <w:t>Čl. 1.11.5.1 TKP, odst. 5 se ruší.</w:t>
      </w:r>
    </w:p>
    <w:p w14:paraId="34C5FAAF" w14:textId="77777777" w:rsidR="004C1240" w:rsidRPr="009A354C" w:rsidRDefault="004C1240" w:rsidP="00864A51">
      <w:pPr>
        <w:pStyle w:val="Text2-2"/>
        <w:tabs>
          <w:tab w:val="clear" w:pos="1531"/>
          <w:tab w:val="num" w:pos="1701"/>
        </w:tabs>
        <w:ind w:left="709" w:firstLine="0"/>
      </w:pPr>
      <w:r w:rsidRPr="009A354C">
        <w:t>ČL 1.11.5.1 TKP, odst. 6 se mění takto:</w:t>
      </w:r>
    </w:p>
    <w:p w14:paraId="2A2ECA97" w14:textId="77777777" w:rsidR="004C1240" w:rsidRPr="009A354C" w:rsidRDefault="004C1240" w:rsidP="00864A51">
      <w:pPr>
        <w:pStyle w:val="Text2-2"/>
        <w:numPr>
          <w:ilvl w:val="0"/>
          <w:numId w:val="0"/>
        </w:numPr>
        <w:ind w:left="1701"/>
      </w:pPr>
      <w:r w:rsidRPr="009A354C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9A354C" w:rsidRDefault="004C1240" w:rsidP="00864A51">
      <w:pPr>
        <w:pStyle w:val="Text2-2"/>
        <w:numPr>
          <w:ilvl w:val="0"/>
          <w:numId w:val="22"/>
        </w:numPr>
        <w:ind w:left="709" w:firstLine="992"/>
      </w:pPr>
      <w:r w:rsidRPr="009A354C">
        <w:t>kompletní dokumentace stavby v otevřené formě</w:t>
      </w:r>
    </w:p>
    <w:p w14:paraId="19A3DA3F" w14:textId="7E66C78D" w:rsidR="004C1240" w:rsidRPr="009A354C" w:rsidRDefault="004C1240" w:rsidP="00864A51">
      <w:pPr>
        <w:pStyle w:val="Text2-2"/>
        <w:numPr>
          <w:ilvl w:val="0"/>
          <w:numId w:val="22"/>
        </w:numPr>
        <w:ind w:left="709" w:firstLine="992"/>
      </w:pPr>
      <w:r w:rsidRPr="009A354C">
        <w:t>kompletní dokumentace stavby v uzavřené formě</w:t>
      </w:r>
    </w:p>
    <w:p w14:paraId="458AE099" w14:textId="77777777" w:rsidR="00DE3429" w:rsidRPr="009A354C" w:rsidRDefault="00672F4D" w:rsidP="00864A51">
      <w:pPr>
        <w:pStyle w:val="Text2-2"/>
        <w:numPr>
          <w:ilvl w:val="0"/>
          <w:numId w:val="22"/>
        </w:numPr>
        <w:spacing w:after="0"/>
        <w:ind w:left="709" w:firstLine="992"/>
      </w:pPr>
      <w:r w:rsidRPr="009A354C">
        <w:t xml:space="preserve">kompletní dokumentace stavby </w:t>
      </w:r>
      <w:r w:rsidR="004C1240" w:rsidRPr="009A354C">
        <w:t>ve struktuře Tree</w:t>
      </w:r>
      <w:r w:rsidRPr="009A354C">
        <w:t>I</w:t>
      </w:r>
      <w:r w:rsidR="004C1240" w:rsidRPr="009A354C">
        <w:t xml:space="preserve">nfo (InvestDokument) </w:t>
      </w:r>
      <w:r w:rsidR="00DE3429" w:rsidRPr="009A354C">
        <w:t xml:space="preserve">  </w:t>
      </w:r>
    </w:p>
    <w:p w14:paraId="3DF85E15" w14:textId="7B534BAB" w:rsidR="004C1240" w:rsidRPr="00DE3429" w:rsidRDefault="004C1240" w:rsidP="00864A51">
      <w:pPr>
        <w:pStyle w:val="Text2-2"/>
        <w:numPr>
          <w:ilvl w:val="0"/>
          <w:numId w:val="0"/>
        </w:numPr>
        <w:ind w:left="2835" w:hanging="709"/>
      </w:pPr>
      <w:r w:rsidRPr="00DE3429">
        <w:t>v otevřené a uzavřené formě.</w:t>
      </w:r>
    </w:p>
    <w:p w14:paraId="744A9FA1" w14:textId="77777777" w:rsidR="00E05363" w:rsidRPr="00E05363" w:rsidRDefault="00E05363" w:rsidP="00864A51">
      <w:pPr>
        <w:pStyle w:val="Text2-2"/>
        <w:tabs>
          <w:tab w:val="clear" w:pos="1531"/>
          <w:tab w:val="num" w:pos="1701"/>
        </w:tabs>
        <w:ind w:left="709" w:firstLine="0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B872DE">
      <w:pPr>
        <w:pStyle w:val="Text2-1"/>
        <w:ind w:left="709" w:hanging="709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3E9CE66C" w:rsidR="00735F5B" w:rsidRPr="008D1303" w:rsidRDefault="00735F5B" w:rsidP="00864A51">
      <w:pPr>
        <w:pStyle w:val="Text2-2"/>
        <w:tabs>
          <w:tab w:val="clear" w:pos="1531"/>
          <w:tab w:val="num" w:pos="1701"/>
        </w:tabs>
        <w:ind w:left="1701" w:hanging="992"/>
      </w:pPr>
      <w:r>
        <w:t xml:space="preserve">Objednatel se zavazuje zajistit Zhotoviteli právo užívání Staveniště, </w:t>
      </w:r>
      <w:r w:rsidRPr="00E8108D">
        <w:t>včetně železniční dopravní cesty,</w:t>
      </w:r>
      <w:r>
        <w:t xml:space="preserve"> v době, kdy je toho třeba, aby mohl Zhotovitel Dílo dokončit řádně a včas za podmínek sjednaných ve Smlouvě. Staveniště (jako </w:t>
      </w:r>
      <w:r>
        <w:lastRenderedPageBreak/>
        <w:t>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5264164B" w14:textId="33D8A840" w:rsidR="00AB2765" w:rsidRPr="00AB2765" w:rsidRDefault="00735F5B" w:rsidP="00864A51">
      <w:pPr>
        <w:pStyle w:val="Text2-2"/>
        <w:numPr>
          <w:ilvl w:val="0"/>
          <w:numId w:val="0"/>
        </w:numPr>
        <w:ind w:left="1701" w:firstLine="1"/>
      </w:pPr>
      <w:r>
        <w:t xml:space="preserve"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</w:t>
      </w:r>
      <w:r w:rsidR="00E75853">
        <w:t>Pod zhotovitele</w:t>
      </w:r>
      <w:r>
        <w:t xml:space="preserve"> ze Staveniště.</w:t>
      </w:r>
    </w:p>
    <w:p w14:paraId="65856365" w14:textId="77777777" w:rsidR="00223CF2" w:rsidRPr="00BD583A" w:rsidRDefault="00223CF2" w:rsidP="00864A51">
      <w:pPr>
        <w:pStyle w:val="Text2-2"/>
        <w:tabs>
          <w:tab w:val="clear" w:pos="1531"/>
          <w:tab w:val="num" w:pos="1701"/>
        </w:tabs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864A51">
      <w:pPr>
        <w:pStyle w:val="Text2-2"/>
        <w:tabs>
          <w:tab w:val="clear" w:pos="1531"/>
          <w:tab w:val="num" w:pos="1701"/>
        </w:tabs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864A51">
      <w:pPr>
        <w:pStyle w:val="Text2-2"/>
        <w:tabs>
          <w:tab w:val="clear" w:pos="1531"/>
          <w:tab w:val="num" w:pos="1701"/>
        </w:tabs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864A51">
      <w:pPr>
        <w:pStyle w:val="Text2-2"/>
        <w:tabs>
          <w:tab w:val="clear" w:pos="1531"/>
          <w:tab w:val="num" w:pos="1701"/>
        </w:tabs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864A51">
      <w:pPr>
        <w:pStyle w:val="Text2-2"/>
        <w:tabs>
          <w:tab w:val="clear" w:pos="1531"/>
          <w:tab w:val="num" w:pos="1701"/>
        </w:tabs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864A51">
      <w:pPr>
        <w:pStyle w:val="Text2-2"/>
        <w:tabs>
          <w:tab w:val="clear" w:pos="1531"/>
          <w:tab w:val="num" w:pos="1701"/>
        </w:tabs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12A47F82" w:rsidR="00E95BF0" w:rsidRPr="00BD583A" w:rsidRDefault="00DD10A4" w:rsidP="005445FA">
      <w:pPr>
        <w:pStyle w:val="Text2-2"/>
        <w:tabs>
          <w:tab w:val="clear" w:pos="1531"/>
          <w:tab w:val="num" w:pos="1701"/>
        </w:tabs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046513C2" w:rsidR="00DD10A4" w:rsidRPr="00BD583A" w:rsidRDefault="00DD10A4" w:rsidP="005445FA">
      <w:pPr>
        <w:pStyle w:val="Text2-2"/>
        <w:tabs>
          <w:tab w:val="clear" w:pos="1531"/>
          <w:tab w:val="num" w:pos="1701"/>
        </w:tabs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66331C45" w:rsidR="00F72FDF" w:rsidRPr="00F72FDF" w:rsidRDefault="00F72FDF" w:rsidP="005445FA">
      <w:pPr>
        <w:pStyle w:val="Text2-2"/>
        <w:tabs>
          <w:tab w:val="clear" w:pos="1531"/>
          <w:tab w:val="num" w:pos="1701"/>
        </w:tabs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18F03A68" w:rsidR="00744694" w:rsidRPr="008C4EA5" w:rsidRDefault="00744694" w:rsidP="00980F8B">
      <w:pPr>
        <w:pStyle w:val="Text2-2"/>
        <w:tabs>
          <w:tab w:val="clear" w:pos="1531"/>
          <w:tab w:val="num" w:pos="1701"/>
        </w:tabs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980F8B">
      <w:pPr>
        <w:pStyle w:val="Odstavecseseznamem"/>
        <w:numPr>
          <w:ilvl w:val="4"/>
          <w:numId w:val="14"/>
        </w:numPr>
        <w:tabs>
          <w:tab w:val="clear" w:pos="737"/>
          <w:tab w:val="num" w:pos="1134"/>
        </w:tabs>
        <w:ind w:left="1134" w:hanging="708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980F8B">
      <w:pPr>
        <w:pStyle w:val="Text2-2"/>
        <w:numPr>
          <w:ilvl w:val="4"/>
          <w:numId w:val="14"/>
        </w:numPr>
        <w:tabs>
          <w:tab w:val="clear" w:pos="737"/>
          <w:tab w:val="num" w:pos="1276"/>
        </w:tabs>
        <w:ind w:left="1134" w:hanging="708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980F8B">
      <w:pPr>
        <w:pStyle w:val="Text2-2"/>
        <w:numPr>
          <w:ilvl w:val="4"/>
          <w:numId w:val="14"/>
        </w:numPr>
        <w:tabs>
          <w:tab w:val="clear" w:pos="737"/>
          <w:tab w:val="num" w:pos="1276"/>
        </w:tabs>
        <w:ind w:left="1134" w:hanging="708"/>
      </w:pPr>
      <w:r w:rsidRPr="008C4EA5">
        <w:lastRenderedPageBreak/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8C4EA5" w:rsidRDefault="00744694" w:rsidP="00980F8B">
      <w:pPr>
        <w:pStyle w:val="Text2-2"/>
        <w:numPr>
          <w:ilvl w:val="4"/>
          <w:numId w:val="14"/>
        </w:numPr>
        <w:tabs>
          <w:tab w:val="clear" w:pos="737"/>
          <w:tab w:val="num" w:pos="1134"/>
        </w:tabs>
        <w:ind w:left="1134" w:hanging="708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980F8B">
      <w:pPr>
        <w:pStyle w:val="Odstavecseseznamem"/>
        <w:numPr>
          <w:ilvl w:val="4"/>
          <w:numId w:val="14"/>
        </w:numPr>
        <w:tabs>
          <w:tab w:val="clear" w:pos="737"/>
          <w:tab w:val="num" w:pos="1418"/>
        </w:tabs>
        <w:ind w:left="1134" w:hanging="708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980F8B">
      <w:pPr>
        <w:pStyle w:val="Text2-2"/>
        <w:numPr>
          <w:ilvl w:val="4"/>
          <w:numId w:val="14"/>
        </w:numPr>
        <w:tabs>
          <w:tab w:val="clear" w:pos="737"/>
          <w:tab w:val="num" w:pos="1134"/>
        </w:tabs>
        <w:ind w:left="1134" w:hanging="708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980F8B">
      <w:pPr>
        <w:pStyle w:val="Text2-2"/>
        <w:tabs>
          <w:tab w:val="clear" w:pos="1531"/>
          <w:tab w:val="num" w:pos="1985"/>
        </w:tabs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980F8B">
      <w:pPr>
        <w:pStyle w:val="Text2-2"/>
        <w:tabs>
          <w:tab w:val="clear" w:pos="1531"/>
          <w:tab w:val="num" w:pos="1843"/>
        </w:tabs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980F8B">
      <w:pPr>
        <w:pStyle w:val="Text2-2"/>
        <w:tabs>
          <w:tab w:val="clear" w:pos="1531"/>
          <w:tab w:val="num" w:pos="1843"/>
        </w:tabs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980F8B">
      <w:pPr>
        <w:pStyle w:val="Text2-2"/>
        <w:tabs>
          <w:tab w:val="clear" w:pos="1531"/>
          <w:tab w:val="num" w:pos="1985"/>
        </w:tabs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980F8B">
      <w:pPr>
        <w:pStyle w:val="Text2-2"/>
        <w:tabs>
          <w:tab w:val="clear" w:pos="1531"/>
          <w:tab w:val="num" w:pos="1843"/>
        </w:tabs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980F8B">
      <w:pPr>
        <w:pStyle w:val="Text2-2"/>
        <w:tabs>
          <w:tab w:val="clear" w:pos="1531"/>
          <w:tab w:val="num" w:pos="1843"/>
        </w:tabs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287DEC">
      <w:pPr>
        <w:pStyle w:val="Text2-2"/>
        <w:tabs>
          <w:tab w:val="clear" w:pos="1531"/>
          <w:tab w:val="num" w:pos="1843"/>
        </w:tabs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5F3CF275" w14:textId="77777777" w:rsidR="009F244D" w:rsidRPr="009F244D" w:rsidRDefault="009F244D" w:rsidP="00287DEC">
      <w:pPr>
        <w:pStyle w:val="Text2-2"/>
        <w:tabs>
          <w:tab w:val="clear" w:pos="1531"/>
          <w:tab w:val="num" w:pos="1843"/>
        </w:tabs>
        <w:ind w:left="1701" w:hanging="99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3B18D3C9" w:rsidR="009F244D" w:rsidRPr="009F244D" w:rsidRDefault="009F244D" w:rsidP="00287DEC">
      <w:pPr>
        <w:pStyle w:val="Text2-2"/>
        <w:tabs>
          <w:tab w:val="clear" w:pos="1531"/>
          <w:tab w:val="num" w:pos="1985"/>
        </w:tabs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 xml:space="preserve">. Toto písemné oznámení bude Zhotovitelem náležitě odůvodněno. V případě, že tak Zhotovitel neučiní, souhlasí Zhotovitel s tím, že nahradí Objednateli veškeré následně vzniklé </w:t>
      </w:r>
      <w:r w:rsidRPr="009F244D">
        <w:lastRenderedPageBreak/>
        <w:t>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287DEC">
      <w:pPr>
        <w:pStyle w:val="Text2-2"/>
        <w:tabs>
          <w:tab w:val="clear" w:pos="1531"/>
          <w:tab w:val="num" w:pos="1985"/>
        </w:tabs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287DEC">
      <w:pPr>
        <w:pStyle w:val="Text2-2"/>
        <w:tabs>
          <w:tab w:val="clear" w:pos="1531"/>
          <w:tab w:val="num" w:pos="1985"/>
        </w:tabs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B56C05" w:rsidRDefault="006F687F" w:rsidP="00287DEC">
      <w:pPr>
        <w:pStyle w:val="Text2-2"/>
        <w:tabs>
          <w:tab w:val="clear" w:pos="1531"/>
          <w:tab w:val="num" w:pos="1843"/>
        </w:tabs>
        <w:ind w:left="1701" w:hanging="992"/>
      </w:pPr>
      <w:r w:rsidRPr="00B56C05">
        <w:t xml:space="preserve">Zhotovitel se zavazuje zajistit u svých zaměstnanců a zaměstnanců poddodavatelů prokazatelné seznámení s </w:t>
      </w:r>
      <w:r w:rsidRPr="00B56C05">
        <w:rPr>
          <w:b/>
        </w:rPr>
        <w:t xml:space="preserve">plánem BOZP </w:t>
      </w:r>
      <w:r w:rsidRPr="00B56C05">
        <w:t>Díla (dle zákona č. 309/2006 Sb.</w:t>
      </w:r>
      <w:r w:rsidR="006C44FD" w:rsidRPr="00B56C05">
        <w:t xml:space="preserve"> (zákon o zajištění dalších podmínek bezpečnosti a ochrany zdraví při práci))</w:t>
      </w:r>
      <w:r w:rsidRPr="00B56C05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287DEC">
      <w:pPr>
        <w:pStyle w:val="Text2-2"/>
        <w:tabs>
          <w:tab w:val="clear" w:pos="1531"/>
          <w:tab w:val="num" w:pos="1843"/>
        </w:tabs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287DEC">
      <w:pPr>
        <w:pStyle w:val="Text2-2"/>
        <w:tabs>
          <w:tab w:val="clear" w:pos="1531"/>
          <w:tab w:val="num" w:pos="1701"/>
        </w:tabs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B872DE">
      <w:pPr>
        <w:pStyle w:val="Nadpis2-2"/>
        <w:ind w:left="709" w:hanging="709"/>
      </w:pPr>
      <w:bookmarkStart w:id="36" w:name="_Toc132615036"/>
      <w:r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0D0C0FDD" w14:textId="4D471175" w:rsidR="00DC55C8" w:rsidRDefault="00DC55C8" w:rsidP="00B872DE">
      <w:pPr>
        <w:pStyle w:val="Text2-1"/>
        <w:ind w:left="709" w:hanging="709"/>
      </w:pPr>
      <w:r w:rsidRPr="00DC55C8">
        <w:t>Zhotovitel zažádá jmenovaného ÚOZI (úředně oprávněný zeměměřičský inženýr) Objednatele</w:t>
      </w:r>
      <w:r w:rsidR="003B1AD9">
        <w:t xml:space="preserve"> (dále jen „ÚOZI Objednatele“) </w:t>
      </w:r>
      <w:r w:rsidR="003B1AD9" w:rsidRPr="00214560">
        <w:t xml:space="preserve">Ing. Martin Votoupal, tel.: +420 727 877 362, e-mail </w:t>
      </w:r>
      <w:hyperlink r:id="rId11" w:history="1">
        <w:r w:rsidR="003B1AD9" w:rsidRPr="00214560">
          <w:rPr>
            <w:color w:val="0563C1"/>
            <w:u w:val="single"/>
          </w:rPr>
          <w:t>Votoupal@spravazeleznic.cz</w:t>
        </w:r>
      </w:hyperlink>
      <w:r w:rsidR="003B1AD9" w:rsidRPr="00214560"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B872DE">
      <w:pPr>
        <w:pStyle w:val="Text2-1"/>
        <w:ind w:left="709" w:hanging="709"/>
      </w:pPr>
      <w:r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B872DE">
      <w:pPr>
        <w:pStyle w:val="Text2-1"/>
        <w:ind w:left="709" w:hanging="709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B56C05" w:rsidRDefault="00DC55C8" w:rsidP="00B872DE">
      <w:pPr>
        <w:pStyle w:val="Text2-1"/>
        <w:ind w:left="709" w:hanging="709"/>
      </w:pPr>
      <w:r w:rsidRPr="00B56C05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B56C05" w:rsidRDefault="00DC55C8" w:rsidP="00B872DE">
      <w:pPr>
        <w:pStyle w:val="Text2-1"/>
        <w:ind w:left="709" w:hanging="709"/>
      </w:pPr>
      <w:r w:rsidRPr="00B56C05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B56C05" w:rsidRDefault="00DC55C8" w:rsidP="00B872DE">
      <w:pPr>
        <w:pStyle w:val="Text2-1"/>
        <w:ind w:left="709" w:hanging="709"/>
      </w:pPr>
      <w:r w:rsidRPr="00B56C05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B872DE">
      <w:pPr>
        <w:pStyle w:val="Text2-1"/>
        <w:ind w:left="709" w:hanging="709"/>
      </w:pPr>
      <w:r>
        <w:lastRenderedPageBreak/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>
        <w:t> čl. 1.7.3 TKP ZEMĚMĚŘICKÁ ČINNOST ZAJIŠŤOVANÁ ZHOTOVITELEM</w:t>
      </w:r>
      <w:bookmarkEnd w:id="39"/>
      <w:r>
        <w:t xml:space="preserve"> a předá ÚOZI Objednatele ke kontrole.</w:t>
      </w:r>
    </w:p>
    <w:p w14:paraId="100ECCA3" w14:textId="77777777" w:rsidR="00DC55C8" w:rsidRDefault="00DC55C8" w:rsidP="00B872DE">
      <w:pPr>
        <w:pStyle w:val="Text2-1"/>
        <w:ind w:left="709" w:hanging="709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B872DE">
      <w:pPr>
        <w:pStyle w:val="Text2-1"/>
        <w:ind w:left="709" w:hanging="709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B872DE">
      <w:pPr>
        <w:pStyle w:val="Text2-1"/>
        <w:ind w:left="709" w:hanging="709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B872DE">
      <w:pPr>
        <w:pStyle w:val="Text2-1"/>
        <w:ind w:left="709" w:hanging="709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B56C05" w:rsidRDefault="00DC55C8" w:rsidP="00B872DE">
      <w:pPr>
        <w:pStyle w:val="Text2-1"/>
        <w:ind w:left="709" w:hanging="709"/>
      </w:pPr>
      <w:r w:rsidRPr="00B56C05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B872DE">
      <w:pPr>
        <w:pStyle w:val="Text2-1"/>
        <w:ind w:left="709" w:hanging="709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B56C05" w:rsidRDefault="00DC55C8" w:rsidP="00B872DE">
      <w:pPr>
        <w:pStyle w:val="Text2-1"/>
        <w:ind w:left="709" w:hanging="709"/>
      </w:pPr>
      <w:r w:rsidRPr="00B56C05"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B872DE">
      <w:pPr>
        <w:pStyle w:val="Text2-1"/>
        <w:ind w:left="709" w:hanging="709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B872DE">
      <w:pPr>
        <w:pStyle w:val="Text2-1"/>
        <w:ind w:left="709" w:hanging="709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B56C05" w:rsidRDefault="00DC55C8" w:rsidP="00B872DE">
      <w:pPr>
        <w:pStyle w:val="Text2-1"/>
        <w:ind w:left="709" w:hanging="709"/>
      </w:pPr>
      <w:r w:rsidRPr="00B56C05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2D9E2319" w:rsidR="00DF7BAA" w:rsidRPr="00DB1800" w:rsidRDefault="00DF7BAA" w:rsidP="00B872DE">
      <w:pPr>
        <w:pStyle w:val="Nadpis2-2"/>
        <w:ind w:left="709" w:hanging="709"/>
      </w:pPr>
      <w:bookmarkStart w:id="40" w:name="_Toc6410438"/>
      <w:bookmarkStart w:id="41" w:name="_Toc132615037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0"/>
      <w:bookmarkEnd w:id="41"/>
    </w:p>
    <w:p w14:paraId="44E06185" w14:textId="1F7BE850" w:rsidR="00D12C76" w:rsidRDefault="00562909" w:rsidP="00B872DE">
      <w:pPr>
        <w:pStyle w:val="Text2-1"/>
        <w:ind w:left="709" w:hanging="709"/>
      </w:pPr>
      <w:r w:rsidRPr="00DB1800">
        <w:t>Pokud již Zhotovitel nepředložil dále uvedené doklady pře uzavřením SOD, předloží p</w:t>
      </w:r>
      <w:r w:rsidR="00D12C76" w:rsidRPr="00DB1800">
        <w:t xml:space="preserve">řed zahájením prací na objektech, jejichž součástí jsou „Určená technická zařízení“ ve smyslu </w:t>
      </w:r>
      <w:r w:rsidR="00D12C76" w:rsidRPr="00DB1800">
        <w:lastRenderedPageBreak/>
        <w:t>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B872DE">
      <w:pPr>
        <w:pStyle w:val="Text2-1"/>
        <w:ind w:left="709" w:hanging="709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B872DE">
      <w:pPr>
        <w:pStyle w:val="Nadpis2-2"/>
        <w:ind w:left="709" w:hanging="709"/>
      </w:pPr>
      <w:bookmarkStart w:id="42" w:name="_Toc6410439"/>
      <w:bookmarkStart w:id="43" w:name="_Toc132615038"/>
      <w:r w:rsidRPr="00953A4A">
        <w:t>Dokumentace zhotovitele pro stavbu</w:t>
      </w:r>
      <w:bookmarkEnd w:id="42"/>
      <w:bookmarkEnd w:id="43"/>
    </w:p>
    <w:p w14:paraId="68B2109F" w14:textId="5BF73C6B" w:rsidR="00953A4A" w:rsidRPr="00953A4A" w:rsidRDefault="00953A4A" w:rsidP="00B872DE">
      <w:pPr>
        <w:pStyle w:val="Text2-1"/>
        <w:ind w:left="709" w:hanging="709"/>
      </w:pPr>
      <w:r w:rsidRPr="00953A4A">
        <w:t>Součástí předmětu díla není vyhotovení Realizační dokumentace stavby.</w:t>
      </w:r>
    </w:p>
    <w:p w14:paraId="109FD0B0" w14:textId="77777777" w:rsidR="00EE6FF4" w:rsidRPr="00953A4A" w:rsidRDefault="00740821" w:rsidP="00B872DE">
      <w:pPr>
        <w:pStyle w:val="Text2-1"/>
        <w:ind w:left="709" w:hanging="709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B872DE">
      <w:pPr>
        <w:pStyle w:val="Text2-1"/>
        <w:ind w:left="709" w:hanging="709"/>
      </w:pPr>
      <w:r w:rsidRPr="00953A4A">
        <w:t>Zhotovitel zpracuje technologické předpisy (TePř)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00A831D" w14:textId="77777777" w:rsidR="0001683D" w:rsidRPr="00AB2765" w:rsidRDefault="0001683D" w:rsidP="00B872DE">
      <w:pPr>
        <w:pStyle w:val="Nadpis2-2"/>
        <w:ind w:left="709" w:hanging="709"/>
      </w:pPr>
      <w:bookmarkStart w:id="44" w:name="_Toc6410440"/>
      <w:bookmarkStart w:id="45" w:name="_Toc132615039"/>
      <w:bookmarkStart w:id="46" w:name="_Hlk132357094"/>
      <w:bookmarkStart w:id="47" w:name="_Toc6410441"/>
      <w:r w:rsidRPr="00AB2765">
        <w:t>Dokumentace skutečného provedení stavby</w:t>
      </w:r>
      <w:bookmarkEnd w:id="44"/>
      <w:bookmarkEnd w:id="45"/>
    </w:p>
    <w:p w14:paraId="6B4C1F82" w14:textId="77777777" w:rsidR="00AB2765" w:rsidRPr="00AB2765" w:rsidRDefault="0001683D" w:rsidP="00B872DE">
      <w:pPr>
        <w:pStyle w:val="Text2-1"/>
        <w:ind w:left="709" w:hanging="709"/>
        <w:rPr>
          <w:rFonts w:eastAsia="Verdana" w:cs="Times New Roman"/>
        </w:rPr>
      </w:pPr>
      <w:r w:rsidRPr="00AB2765">
        <w:t>Objednatel požaduje standardní vyhotovení DSPS dle TKP.</w:t>
      </w:r>
    </w:p>
    <w:p w14:paraId="42E627AB" w14:textId="4026C2C8" w:rsidR="0001683D" w:rsidRPr="00AB2765" w:rsidRDefault="0001683D" w:rsidP="00B872DE">
      <w:pPr>
        <w:pStyle w:val="Text2-1"/>
        <w:ind w:left="709" w:hanging="709"/>
        <w:rPr>
          <w:rFonts w:eastAsia="Verdana" w:cs="Times New Roman"/>
        </w:rPr>
      </w:pPr>
      <w:r w:rsidRPr="00AB2765">
        <w:t>Předání DSPS dle oddílu 1.11.5 Kapitoly 1 TKP a dle čl. 4.1.2.23 - 4.1.2.28 těchto ZTP proběhne na médiu: na záznamovém</w:t>
      </w:r>
      <w:r w:rsidR="00AB2765">
        <w:t xml:space="preserve"> médiu</w:t>
      </w:r>
      <w:r w:rsidR="00AB2765" w:rsidRPr="00AB2765">
        <w:t>.</w:t>
      </w:r>
      <w:r w:rsidRPr="00AB2765">
        <w:t xml:space="preserve"> </w:t>
      </w:r>
      <w:bookmarkEnd w:id="46"/>
    </w:p>
    <w:p w14:paraId="30ED94AF" w14:textId="77777777" w:rsidR="00DF7BAA" w:rsidRPr="00E77C22" w:rsidRDefault="00DF7BAA" w:rsidP="00B872DE">
      <w:pPr>
        <w:pStyle w:val="Nadpis2-2"/>
        <w:ind w:left="709" w:hanging="709"/>
      </w:pPr>
      <w:bookmarkStart w:id="48" w:name="_Toc132615040"/>
      <w:r w:rsidRPr="00AB2765">
        <w:t>Zabezpečovací</w:t>
      </w:r>
      <w:r w:rsidRPr="00E77C22">
        <w:t xml:space="preserve"> zařízení</w:t>
      </w:r>
      <w:bookmarkEnd w:id="47"/>
      <w:bookmarkEnd w:id="48"/>
    </w:p>
    <w:p w14:paraId="256DC0C9" w14:textId="02BFD585" w:rsidR="00DF7BAA" w:rsidRDefault="00B56C05" w:rsidP="00B872DE">
      <w:pPr>
        <w:pStyle w:val="Text2-1"/>
        <w:ind w:left="709" w:hanging="709"/>
      </w:pPr>
      <w:r>
        <w:t>Současný stav</w:t>
      </w:r>
    </w:p>
    <w:p w14:paraId="146EF71B" w14:textId="693399FF" w:rsidR="00B56C05" w:rsidRDefault="00B56C05" w:rsidP="00714804">
      <w:pPr>
        <w:pStyle w:val="Text2-1"/>
        <w:numPr>
          <w:ilvl w:val="0"/>
          <w:numId w:val="0"/>
        </w:numPr>
        <w:ind w:left="709"/>
      </w:pPr>
      <w:r>
        <w:t>ŽST Louky nad Olší je zabezpečena staničním zabezpečovacím zařízením 3. kategorie (staniční zab. zař. ESA). Přilehlý traťový úsek je zabezpečen traťovým zabezpečovacím zařízením 3. kategorie – elektronický trojznaký automatický blok. Zabezpečovací zařízení bylo aktivováno v roce 2019 a po dobu 5 let je záruka ze stavby „Optimalizace trati Český Těšín – Dětmarovice“. Realizace této zakázky musí respektovat podmínky záruky.     Stavbou bude dotčena kolej č. 2 v km 326,2-331,7, výhybky č.23, 24, 26, výkolejka AVK1 seřaďovací návěstidla Se19, Se22 a Se26, vjezdové návěstidlo 2S, oddílové návěstidlo 2-3280/2-3281, 2-3294/2-3293 a kabelové trasy k dalším venkovním prvkům vedoucí pod kolejí č.2.</w:t>
      </w:r>
    </w:p>
    <w:p w14:paraId="600DE933" w14:textId="647B4370" w:rsidR="00EA23A7" w:rsidRDefault="005F30B3" w:rsidP="00B872DE">
      <w:pPr>
        <w:pStyle w:val="Text2-1"/>
        <w:ind w:left="709" w:hanging="709"/>
      </w:pPr>
      <w:r>
        <w:t>Technické řešení</w:t>
      </w:r>
    </w:p>
    <w:p w14:paraId="33F662A1" w14:textId="77777777" w:rsidR="00C51842" w:rsidRPr="00C51842" w:rsidRDefault="00C51842" w:rsidP="00287DEC">
      <w:pPr>
        <w:pStyle w:val="Text2-2"/>
        <w:tabs>
          <w:tab w:val="clear" w:pos="1531"/>
          <w:tab w:val="num" w:pos="1701"/>
        </w:tabs>
        <w:ind w:left="1560" w:hanging="851"/>
        <w:rPr>
          <w:b/>
        </w:rPr>
      </w:pPr>
      <w:r w:rsidRPr="00C51842">
        <w:rPr>
          <w:b/>
        </w:rPr>
        <w:t>Návěstidla</w:t>
      </w:r>
    </w:p>
    <w:p w14:paraId="279EF3A5" w14:textId="42D861FB" w:rsidR="00C51842" w:rsidRDefault="005F30B3" w:rsidP="00287DEC">
      <w:pPr>
        <w:pStyle w:val="Text2-2"/>
        <w:numPr>
          <w:ilvl w:val="0"/>
          <w:numId w:val="0"/>
        </w:numPr>
        <w:ind w:left="1560" w:hanging="1"/>
      </w:pPr>
      <w:r>
        <w:t>Stavbou budou dotčena návěstidla Se 19, Se22 trpasličí, Se26 stožárové, stožárové oboustranné návěstidla oddílové 2-3280/2-3281 a 2-3294/2-3293. Před začátkem prací se uvedená návěstidla demontují včetně patek. Po ukončení sanace koleje č. 2 se návěstidla osadí ve stejných kilometrických polohách. Použijí se stávající patky a návěstidla. Obdobně se demontují a zpětně namontují rychlostní upozorňovadla (3x100m) 21ks a taktéž se použijí stávající patky a upozorňovadla. Venkovní telefonní objekt VTO se demontuje a zpětně namontuje dle původní kilometrické polohy. VTO se použije stávající.</w:t>
      </w:r>
    </w:p>
    <w:p w14:paraId="799955E0" w14:textId="77777777" w:rsidR="00C51842" w:rsidRPr="00C51842" w:rsidRDefault="00C51842" w:rsidP="00287DEC">
      <w:pPr>
        <w:pStyle w:val="Text2-2"/>
        <w:tabs>
          <w:tab w:val="clear" w:pos="1531"/>
          <w:tab w:val="num" w:pos="2127"/>
        </w:tabs>
        <w:ind w:left="1560" w:hanging="851"/>
        <w:rPr>
          <w:b/>
        </w:rPr>
      </w:pPr>
      <w:r w:rsidRPr="00C51842">
        <w:rPr>
          <w:b/>
        </w:rPr>
        <w:t>Přestavníky</w:t>
      </w:r>
    </w:p>
    <w:p w14:paraId="398BAFBC" w14:textId="6FCF2A5E" w:rsidR="00C51842" w:rsidRDefault="005F30B3" w:rsidP="00287DEC">
      <w:pPr>
        <w:pStyle w:val="Text2-2"/>
        <w:numPr>
          <w:ilvl w:val="0"/>
          <w:numId w:val="0"/>
        </w:numPr>
        <w:ind w:left="1560" w:hanging="1"/>
      </w:pPr>
      <w:r>
        <w:t>Demontáž a opětovná montáž elektromotorického přestavníku se provede u výhybek č. 23, 24, 26, včetně elektromotorické výkolejky AVk1.  Přestavníky, ohrádky i desky pod přestavníky se použijí stávající. V době demontovaných přestavníků se v SU zřídí náhradní kontroly polohy výhybek.</w:t>
      </w:r>
    </w:p>
    <w:p w14:paraId="6D6619A2" w14:textId="77777777" w:rsidR="00C51842" w:rsidRPr="00C51842" w:rsidRDefault="00C51842" w:rsidP="00287DEC">
      <w:pPr>
        <w:pStyle w:val="Text2-2"/>
        <w:tabs>
          <w:tab w:val="clear" w:pos="1531"/>
          <w:tab w:val="num" w:pos="1701"/>
        </w:tabs>
        <w:ind w:left="709" w:firstLine="0"/>
        <w:rPr>
          <w:b/>
        </w:rPr>
      </w:pPr>
      <w:r w:rsidRPr="00C51842">
        <w:rPr>
          <w:b/>
        </w:rPr>
        <w:lastRenderedPageBreak/>
        <w:t>Kolejové obvody</w:t>
      </w:r>
    </w:p>
    <w:p w14:paraId="1614C931" w14:textId="108585AE" w:rsidR="00C51842" w:rsidRDefault="005F30B3" w:rsidP="00287DEC">
      <w:pPr>
        <w:pStyle w:val="Text2-2"/>
        <w:numPr>
          <w:ilvl w:val="0"/>
          <w:numId w:val="0"/>
        </w:numPr>
        <w:ind w:left="1701"/>
      </w:pPr>
      <w:r>
        <w:t>Výstroj kolejových obvodů tvořící stykové transformátory DT-075, kde jsou ukončeny kabely pro kolejové obvody, budou demontovány a opětovně namontovány, včetně balíz. Kolejové propojky a lanová propojení se použijí stávající a je počítáno s jejich demontáží a zpětnou montáži i po definitivním podbíjení. Vnitřní výstroj KO a jejich napájení zůstane beze změn.</w:t>
      </w:r>
    </w:p>
    <w:p w14:paraId="75C13BA3" w14:textId="77777777" w:rsidR="00C51842" w:rsidRPr="00C51842" w:rsidRDefault="00C51842" w:rsidP="00287DEC">
      <w:pPr>
        <w:pStyle w:val="Text2-2"/>
        <w:tabs>
          <w:tab w:val="clear" w:pos="1531"/>
          <w:tab w:val="num" w:pos="1985"/>
        </w:tabs>
        <w:ind w:left="1701" w:hanging="992"/>
        <w:rPr>
          <w:b/>
        </w:rPr>
      </w:pPr>
      <w:r w:rsidRPr="00C51842">
        <w:rPr>
          <w:b/>
        </w:rPr>
        <w:t>Kabelizace</w:t>
      </w:r>
    </w:p>
    <w:p w14:paraId="3C330C8B" w14:textId="23214502" w:rsidR="00C51842" w:rsidRDefault="008E01C6" w:rsidP="00287DEC">
      <w:pPr>
        <w:pStyle w:val="Text2-2"/>
        <w:numPr>
          <w:ilvl w:val="0"/>
          <w:numId w:val="0"/>
        </w:numPr>
        <w:ind w:left="1701"/>
      </w:pPr>
      <w:r>
        <w:t>Hlavní kabelová trasa vede mimo sanovanou kolej (v tzv. hrobečku) a stavebními pracemi nebude dotčena. Kabely k jednotlivým prvkům venkovního zabezpečovacího zařízení odbočují z hlavní kabelové trasy většinou kolmo. K návěstidlům a přilehlým kolejovým obvodům se využijí rezervy stávajících kabelů. Materiál z výkopů bude použit pro zához a po ukončení opravy budou veškeré plochy dotčené výkopy uvedeny do původního stavu.</w:t>
      </w:r>
    </w:p>
    <w:p w14:paraId="082B2980" w14:textId="171C8ED2" w:rsidR="00C51842" w:rsidRPr="00C51842" w:rsidRDefault="00C51842" w:rsidP="00287DEC">
      <w:pPr>
        <w:pStyle w:val="Text2-2"/>
        <w:tabs>
          <w:tab w:val="clear" w:pos="1531"/>
          <w:tab w:val="num" w:pos="1701"/>
        </w:tabs>
        <w:ind w:left="709" w:firstLine="0"/>
        <w:rPr>
          <w:b/>
        </w:rPr>
      </w:pPr>
      <w:r w:rsidRPr="00C51842">
        <w:rPr>
          <w:b/>
        </w:rPr>
        <w:t>Poč</w:t>
      </w:r>
      <w:r>
        <w:rPr>
          <w:b/>
        </w:rPr>
        <w:t>í</w:t>
      </w:r>
      <w:r w:rsidRPr="00C51842">
        <w:rPr>
          <w:b/>
        </w:rPr>
        <w:t>tače náprav, anulační soubor ASAR, přejezdník</w:t>
      </w:r>
    </w:p>
    <w:p w14:paraId="00700242" w14:textId="71709C5A" w:rsidR="00C51842" w:rsidRDefault="008E01C6" w:rsidP="00287DEC">
      <w:pPr>
        <w:pStyle w:val="Text2-2"/>
        <w:numPr>
          <w:ilvl w:val="0"/>
          <w:numId w:val="0"/>
        </w:numPr>
        <w:ind w:left="1701"/>
      </w:pPr>
      <w:r>
        <w:t>Snímače PN 18,19,21N,22N a soubor ASAR budou demontovány a opětovně namontovány zpět dle kilometrické polohy na kolejnici. Taktéž se počítá s jejich demontáží a zpětnou montáží po definitivním podbití. Přenosné přejezdníky budou demontovány včetně betonových základů u koleje č.2 a po ukončení sanace koleje č. 2 se osadí ve stejných kilometrických polohách. Použijí se stávající patky a přejezdníky. Po zprovoznění koleje č. 2 budou namontovány na stávající základy u koleje č.1.</w:t>
      </w:r>
    </w:p>
    <w:p w14:paraId="2FED6BBA" w14:textId="77777777" w:rsidR="00C51842" w:rsidRPr="00C51842" w:rsidRDefault="00C51842" w:rsidP="00287DEC">
      <w:pPr>
        <w:pStyle w:val="Text2-2"/>
        <w:tabs>
          <w:tab w:val="clear" w:pos="1531"/>
          <w:tab w:val="num" w:pos="1843"/>
        </w:tabs>
        <w:ind w:left="1701" w:hanging="992"/>
        <w:rPr>
          <w:b/>
        </w:rPr>
      </w:pPr>
      <w:r w:rsidRPr="00C51842">
        <w:rPr>
          <w:b/>
        </w:rPr>
        <w:t>Napájení</w:t>
      </w:r>
    </w:p>
    <w:p w14:paraId="039ABFB1" w14:textId="1D28A20B" w:rsidR="00DB3DB5" w:rsidRDefault="008E01C6" w:rsidP="00031B9D">
      <w:pPr>
        <w:pStyle w:val="Text2-2"/>
        <w:numPr>
          <w:ilvl w:val="0"/>
          <w:numId w:val="0"/>
        </w:numPr>
        <w:ind w:left="1701"/>
      </w:pPr>
      <w:r w:rsidRPr="008E01C6">
        <w:t>Napájení zabezpečovacího zařízení zůstane beze změn.</w:t>
      </w:r>
    </w:p>
    <w:p w14:paraId="5D73724F" w14:textId="77777777" w:rsidR="00DB3DB5" w:rsidRDefault="00DB3DB5" w:rsidP="00B872DE">
      <w:pPr>
        <w:pStyle w:val="Text2-1"/>
        <w:tabs>
          <w:tab w:val="num" w:pos="851"/>
        </w:tabs>
        <w:ind w:left="709" w:hanging="709"/>
      </w:pPr>
      <w:r>
        <w:t>Zhotovitel musí rovněž zajistit aktualizaci průkazu způsobilost UTZ.</w:t>
      </w:r>
    </w:p>
    <w:p w14:paraId="3B67C881" w14:textId="77777777" w:rsidR="00DF7BAA" w:rsidRDefault="00DF7BAA" w:rsidP="00B872DE">
      <w:pPr>
        <w:pStyle w:val="Nadpis2-2"/>
        <w:ind w:left="709" w:hanging="709"/>
      </w:pPr>
      <w:bookmarkStart w:id="49" w:name="_Toc132615041"/>
      <w:bookmarkStart w:id="50" w:name="_Toc6410458"/>
      <w:r>
        <w:t>Životní prostředí</w:t>
      </w:r>
      <w:bookmarkEnd w:id="49"/>
      <w:r>
        <w:t xml:space="preserve"> </w:t>
      </w:r>
      <w:bookmarkEnd w:id="50"/>
    </w:p>
    <w:p w14:paraId="0E03E227" w14:textId="63BA41BD" w:rsidR="00067FA3" w:rsidRPr="00722BEB" w:rsidRDefault="001860E7" w:rsidP="00B872DE">
      <w:pPr>
        <w:pStyle w:val="Text2-1"/>
        <w:tabs>
          <w:tab w:val="num" w:pos="5076"/>
        </w:tabs>
        <w:ind w:left="709" w:hanging="709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465E72" w:rsidRDefault="00E50E94" w:rsidP="00B872DE">
      <w:pPr>
        <w:pStyle w:val="Text2-2"/>
        <w:tabs>
          <w:tab w:val="num" w:pos="1701"/>
        </w:tabs>
        <w:ind w:left="709" w:hanging="709"/>
        <w:rPr>
          <w:rStyle w:val="Tun"/>
          <w:b w:val="0"/>
        </w:rPr>
      </w:pPr>
      <w:r w:rsidRPr="00465E72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62B4556A" w14:textId="3D861D8D" w:rsidR="00442A52" w:rsidRPr="009667B1" w:rsidRDefault="00E50E94" w:rsidP="00031B9D">
      <w:pPr>
        <w:pStyle w:val="Text2-2"/>
        <w:numPr>
          <w:ilvl w:val="0"/>
          <w:numId w:val="0"/>
        </w:numPr>
        <w:tabs>
          <w:tab w:val="num" w:pos="1701"/>
          <w:tab w:val="num" w:pos="5076"/>
        </w:tabs>
        <w:ind w:left="709" w:hanging="709"/>
        <w:rPr>
          <w:rStyle w:val="Tun"/>
        </w:rPr>
      </w:pPr>
      <w:r w:rsidRPr="00465E72">
        <w:rPr>
          <w:rStyle w:val="Tun"/>
          <w:b w:val="0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B872DE">
      <w:pPr>
        <w:pStyle w:val="Nadpis2-1"/>
        <w:ind w:left="709" w:hanging="709"/>
      </w:pPr>
      <w:bookmarkStart w:id="51" w:name="_Toc6410460"/>
      <w:bookmarkStart w:id="52" w:name="_Toc132615042"/>
      <w:r w:rsidRPr="00EC2E51">
        <w:t>ORGANIZACE</w:t>
      </w:r>
      <w:r>
        <w:t xml:space="preserve"> VÝSTAVBY, VÝLUKY</w:t>
      </w:r>
      <w:bookmarkEnd w:id="51"/>
      <w:bookmarkEnd w:id="52"/>
    </w:p>
    <w:p w14:paraId="0587D65B" w14:textId="776D4EFE" w:rsidR="00DF7BAA" w:rsidRDefault="00DF7BAA" w:rsidP="00B872DE">
      <w:pPr>
        <w:pStyle w:val="Text2-1"/>
        <w:ind w:left="709" w:hanging="709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0B50AD97" w14:textId="77777777" w:rsidR="00780967" w:rsidRDefault="00780967" w:rsidP="00780967">
      <w:pPr>
        <w:pStyle w:val="Text2-1"/>
        <w:numPr>
          <w:ilvl w:val="0"/>
          <w:numId w:val="0"/>
        </w:numPr>
        <w:ind w:left="709"/>
      </w:pPr>
    </w:p>
    <w:p w14:paraId="24E8B825" w14:textId="77777777" w:rsidR="00780967" w:rsidRDefault="00780967" w:rsidP="00780967">
      <w:pPr>
        <w:pStyle w:val="Text2-1"/>
        <w:numPr>
          <w:ilvl w:val="0"/>
          <w:numId w:val="0"/>
        </w:numPr>
        <w:ind w:left="709"/>
      </w:pPr>
    </w:p>
    <w:p w14:paraId="73C5C82D" w14:textId="77777777" w:rsidR="00780967" w:rsidRDefault="00780967" w:rsidP="00780967">
      <w:pPr>
        <w:pStyle w:val="Text2-1"/>
        <w:numPr>
          <w:ilvl w:val="0"/>
          <w:numId w:val="0"/>
        </w:numPr>
        <w:ind w:left="709"/>
      </w:pPr>
    </w:p>
    <w:p w14:paraId="0AC8A4D5" w14:textId="77777777" w:rsidR="00780967" w:rsidRDefault="00780967" w:rsidP="00780967">
      <w:pPr>
        <w:pStyle w:val="Text2-1"/>
        <w:numPr>
          <w:ilvl w:val="0"/>
          <w:numId w:val="0"/>
        </w:numPr>
        <w:ind w:left="709"/>
      </w:pPr>
    </w:p>
    <w:p w14:paraId="7336C7C8" w14:textId="77777777" w:rsidR="00780967" w:rsidRDefault="00780967" w:rsidP="00780967">
      <w:pPr>
        <w:pStyle w:val="Text2-1"/>
        <w:numPr>
          <w:ilvl w:val="0"/>
          <w:numId w:val="0"/>
        </w:numPr>
        <w:ind w:left="709"/>
      </w:pPr>
    </w:p>
    <w:p w14:paraId="23A03696" w14:textId="77777777" w:rsidR="00780967" w:rsidRDefault="00780967" w:rsidP="00780967">
      <w:pPr>
        <w:pStyle w:val="Text2-1"/>
        <w:numPr>
          <w:ilvl w:val="0"/>
          <w:numId w:val="0"/>
        </w:numPr>
        <w:ind w:left="709"/>
      </w:pPr>
    </w:p>
    <w:p w14:paraId="5D4086FB" w14:textId="77777777" w:rsidR="00780967" w:rsidRDefault="00780967" w:rsidP="00780967">
      <w:pPr>
        <w:pStyle w:val="Text2-1"/>
        <w:numPr>
          <w:ilvl w:val="0"/>
          <w:numId w:val="0"/>
        </w:numPr>
        <w:ind w:left="709"/>
      </w:pPr>
    </w:p>
    <w:p w14:paraId="79D11205" w14:textId="77777777" w:rsidR="00780967" w:rsidRPr="00EC02A5" w:rsidRDefault="00780967" w:rsidP="00780967">
      <w:pPr>
        <w:pStyle w:val="Text2-1"/>
        <w:numPr>
          <w:ilvl w:val="0"/>
          <w:numId w:val="0"/>
        </w:numPr>
        <w:ind w:left="709"/>
      </w:pPr>
    </w:p>
    <w:p w14:paraId="47372265" w14:textId="77777777" w:rsidR="00BC5413" w:rsidRPr="00EC02A5" w:rsidRDefault="00756A89" w:rsidP="00B872DE">
      <w:pPr>
        <w:pStyle w:val="TabulkaNadpis"/>
        <w:ind w:left="709" w:hanging="709"/>
      </w:pPr>
      <w:r w:rsidRPr="00EC02A5">
        <w:lastRenderedPageBreak/>
        <w:t>Stavební postupy /Etapy</w:t>
      </w:r>
    </w:p>
    <w:tbl>
      <w:tblPr>
        <w:tblStyle w:val="Tabulka10"/>
        <w:tblW w:w="8018" w:type="dxa"/>
        <w:tblInd w:w="737" w:type="dxa"/>
        <w:tblLook w:val="04A0" w:firstRow="1" w:lastRow="0" w:firstColumn="1" w:lastColumn="0" w:noHBand="0" w:noVBand="1"/>
      </w:tblPr>
      <w:tblGrid>
        <w:gridCol w:w="1314"/>
        <w:gridCol w:w="3061"/>
        <w:gridCol w:w="1687"/>
        <w:gridCol w:w="1956"/>
      </w:tblGrid>
      <w:tr w:rsidR="009D623F" w:rsidRPr="0002279D" w14:paraId="4E72ED87" w14:textId="77777777" w:rsidTr="00542D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" w:type="dxa"/>
          </w:tcPr>
          <w:p w14:paraId="292F6585" w14:textId="77777777" w:rsidR="009D623F" w:rsidRPr="00EC02A5" w:rsidRDefault="009D623F" w:rsidP="00B872DE">
            <w:pPr>
              <w:pStyle w:val="Tabulka-7"/>
              <w:ind w:left="709" w:hanging="709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61" w:type="dxa"/>
          </w:tcPr>
          <w:p w14:paraId="1A565737" w14:textId="77777777" w:rsidR="009D623F" w:rsidRPr="00EC02A5" w:rsidRDefault="009D623F" w:rsidP="00B872DE">
            <w:pPr>
              <w:pStyle w:val="Tabulka-7"/>
              <w:ind w:left="709" w:hanging="70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87" w:type="dxa"/>
          </w:tcPr>
          <w:p w14:paraId="7D5C9FC9" w14:textId="77777777" w:rsidR="009D623F" w:rsidRPr="00EC02A5" w:rsidRDefault="009D623F" w:rsidP="00B872DE">
            <w:pPr>
              <w:pStyle w:val="Tabulka-7"/>
              <w:ind w:left="709" w:hanging="70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56" w:type="dxa"/>
          </w:tcPr>
          <w:p w14:paraId="656AD4CF" w14:textId="77777777" w:rsidR="009D623F" w:rsidRPr="00EC02A5" w:rsidRDefault="009D623F" w:rsidP="00B872DE">
            <w:pPr>
              <w:pStyle w:val="Tabulka-7"/>
              <w:ind w:left="709" w:hanging="70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42D74">
        <w:trPr>
          <w:trHeight w:val="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" w:type="dxa"/>
          </w:tcPr>
          <w:p w14:paraId="2A0F3633" w14:textId="77777777" w:rsidR="00580BF5" w:rsidRPr="007E040C" w:rsidRDefault="00580BF5" w:rsidP="00B872DE">
            <w:pPr>
              <w:pStyle w:val="Tabulka-7"/>
              <w:ind w:left="709" w:hanging="709"/>
              <w:rPr>
                <w:highlight w:val="green"/>
              </w:rPr>
            </w:pPr>
          </w:p>
        </w:tc>
        <w:tc>
          <w:tcPr>
            <w:tcW w:w="3061" w:type="dxa"/>
          </w:tcPr>
          <w:p w14:paraId="249F1A6C" w14:textId="703B7EFC" w:rsidR="00580BF5" w:rsidRPr="007E040C" w:rsidRDefault="00580BF5" w:rsidP="00B872DE">
            <w:pPr>
              <w:pStyle w:val="Tabulka-7"/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87" w:type="dxa"/>
          </w:tcPr>
          <w:p w14:paraId="06C55730" w14:textId="77777777" w:rsidR="00580BF5" w:rsidRPr="008B4F46" w:rsidRDefault="00580BF5" w:rsidP="00B872DE">
            <w:pPr>
              <w:pStyle w:val="Tabulka-7"/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56" w:type="dxa"/>
            <w:shd w:val="clear" w:color="auto" w:fill="auto"/>
            <w:vAlign w:val="top"/>
          </w:tcPr>
          <w:p w14:paraId="3E251BD4" w14:textId="33A372CC" w:rsidR="00DB3DB5" w:rsidRPr="000D0DC2" w:rsidRDefault="00DB3DB5" w:rsidP="0078096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0D0DC2">
              <w:rPr>
                <w:sz w:val="14"/>
              </w:rPr>
              <w:t xml:space="preserve">do </w:t>
            </w:r>
            <w:r w:rsidR="00780967">
              <w:rPr>
                <w:sz w:val="14"/>
              </w:rPr>
              <w:t>20</w:t>
            </w:r>
            <w:r w:rsidRPr="000D0DC2">
              <w:rPr>
                <w:sz w:val="14"/>
              </w:rPr>
              <w:t xml:space="preserve"> pracovních dnů od účinnosti smlouvy</w:t>
            </w:r>
          </w:p>
          <w:p w14:paraId="1C2BB016" w14:textId="77777777" w:rsidR="00780967" w:rsidRDefault="00DB3DB5" w:rsidP="00B872DE">
            <w:pPr>
              <w:pStyle w:val="Tabulka"/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0D0DC2">
              <w:rPr>
                <w:sz w:val="14"/>
              </w:rPr>
              <w:t>(předpoklad</w:t>
            </w:r>
            <w:r>
              <w:rPr>
                <w:sz w:val="14"/>
              </w:rPr>
              <w:t xml:space="preserve"> </w:t>
            </w:r>
          </w:p>
          <w:p w14:paraId="5BAE7785" w14:textId="2599E67A" w:rsidR="00580BF5" w:rsidRPr="008B4F46" w:rsidRDefault="00DB3DB5" w:rsidP="00B872DE">
            <w:pPr>
              <w:pStyle w:val="Tabulka"/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>
              <w:rPr>
                <w:sz w:val="14"/>
              </w:rPr>
              <w:t>květen</w:t>
            </w:r>
            <w:r w:rsidR="00780967">
              <w:rPr>
                <w:sz w:val="14"/>
              </w:rPr>
              <w:t>/červen</w:t>
            </w:r>
            <w:r w:rsidRPr="000D0DC2">
              <w:rPr>
                <w:sz w:val="14"/>
              </w:rPr>
              <w:t xml:space="preserve"> 20</w:t>
            </w:r>
            <w:r>
              <w:rPr>
                <w:sz w:val="14"/>
              </w:rPr>
              <w:t>23</w:t>
            </w:r>
            <w:r w:rsidRPr="000D0DC2">
              <w:rPr>
                <w:sz w:val="14"/>
              </w:rPr>
              <w:t>)</w:t>
            </w:r>
          </w:p>
        </w:tc>
      </w:tr>
      <w:tr w:rsidR="00580BF5" w:rsidRPr="00404F88" w14:paraId="7B4994CB" w14:textId="77777777" w:rsidTr="00542D74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" w:type="dxa"/>
          </w:tcPr>
          <w:p w14:paraId="690E69D8" w14:textId="3F69C398" w:rsidR="00580BF5" w:rsidRPr="008B4F46" w:rsidRDefault="00580BF5" w:rsidP="00B872DE">
            <w:pPr>
              <w:pStyle w:val="Tabulka-7"/>
              <w:ind w:left="709" w:hanging="709"/>
            </w:pPr>
            <w:r w:rsidRPr="008B4F46">
              <w:t xml:space="preserve">1. </w:t>
            </w:r>
            <w:r w:rsidR="00542D74" w:rsidRPr="000D0DC2">
              <w:t>Sekce</w:t>
            </w:r>
          </w:p>
        </w:tc>
        <w:tc>
          <w:tcPr>
            <w:tcW w:w="3061" w:type="dxa"/>
          </w:tcPr>
          <w:p w14:paraId="68FF7475" w14:textId="4B8DD813" w:rsidR="00580BF5" w:rsidRPr="008B4F46" w:rsidRDefault="00542D74" w:rsidP="00B872DE">
            <w:pPr>
              <w:pStyle w:val="Tabulka-7"/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0DC2">
              <w:t>Práce</w:t>
            </w:r>
            <w:r>
              <w:t xml:space="preserve"> na odstranění důlních škod</w:t>
            </w:r>
          </w:p>
        </w:tc>
        <w:tc>
          <w:tcPr>
            <w:tcW w:w="1687" w:type="dxa"/>
          </w:tcPr>
          <w:p w14:paraId="2B23A969" w14:textId="77777777" w:rsidR="00580BF5" w:rsidRPr="008B4F46" w:rsidRDefault="00580BF5" w:rsidP="00B872DE">
            <w:pPr>
              <w:pStyle w:val="Tabulka-7"/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Bez výluky</w:t>
            </w:r>
          </w:p>
        </w:tc>
        <w:tc>
          <w:tcPr>
            <w:tcW w:w="1956" w:type="dxa"/>
            <w:shd w:val="clear" w:color="auto" w:fill="auto"/>
            <w:vAlign w:val="top"/>
          </w:tcPr>
          <w:p w14:paraId="1226F31F" w14:textId="3D8D4D05" w:rsidR="00580BF5" w:rsidRPr="00BC51B8" w:rsidRDefault="00780967" w:rsidP="00780967">
            <w:pPr>
              <w:pStyle w:val="Tabulka"/>
              <w:ind w:left="62" w:hanging="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k</w:t>
            </w:r>
            <w:r w:rsidR="00542D74">
              <w:rPr>
                <w:sz w:val="14"/>
              </w:rPr>
              <w:t>věten</w:t>
            </w:r>
            <w:r>
              <w:rPr>
                <w:sz w:val="14"/>
              </w:rPr>
              <w:t>/</w:t>
            </w:r>
            <w:proofErr w:type="gramStart"/>
            <w:r>
              <w:rPr>
                <w:sz w:val="14"/>
              </w:rPr>
              <w:t>červen</w:t>
            </w:r>
            <w:r w:rsidR="00542D74" w:rsidRPr="000D0DC2">
              <w:rPr>
                <w:sz w:val="14"/>
              </w:rPr>
              <w:t xml:space="preserve"> - </w:t>
            </w:r>
            <w:r w:rsidR="00542D74">
              <w:rPr>
                <w:sz w:val="14"/>
              </w:rPr>
              <w:t>listopad</w:t>
            </w:r>
            <w:proofErr w:type="gramEnd"/>
            <w:r w:rsidR="00542D74" w:rsidRPr="000D0DC2">
              <w:rPr>
                <w:sz w:val="14"/>
              </w:rPr>
              <w:t xml:space="preserve"> 20</w:t>
            </w:r>
            <w:r w:rsidR="00542D74">
              <w:rPr>
                <w:sz w:val="14"/>
              </w:rPr>
              <w:t>23</w:t>
            </w:r>
          </w:p>
        </w:tc>
      </w:tr>
      <w:tr w:rsidR="00580BF5" w:rsidRPr="00404F88" w14:paraId="3851B7D4" w14:textId="77777777" w:rsidTr="00542D74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" w:type="dxa"/>
          </w:tcPr>
          <w:p w14:paraId="2D2A9A45" w14:textId="17FAF4E3" w:rsidR="00580BF5" w:rsidRDefault="00580BF5" w:rsidP="00B872DE">
            <w:pPr>
              <w:pStyle w:val="Tabulka-7"/>
              <w:ind w:left="709" w:hanging="709"/>
              <w:rPr>
                <w:highlight w:val="green"/>
              </w:rPr>
            </w:pPr>
          </w:p>
        </w:tc>
        <w:tc>
          <w:tcPr>
            <w:tcW w:w="3061" w:type="dxa"/>
          </w:tcPr>
          <w:p w14:paraId="566D0A67" w14:textId="18963525" w:rsidR="00580BF5" w:rsidRPr="007E040C" w:rsidDel="00055752" w:rsidRDefault="00542D74" w:rsidP="00B872DE">
            <w:pPr>
              <w:pStyle w:val="Tabulka-7"/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4822C8">
              <w:t>Dokončení stavby (stavebních prací)</w:t>
            </w:r>
          </w:p>
        </w:tc>
        <w:tc>
          <w:tcPr>
            <w:tcW w:w="1687" w:type="dxa"/>
          </w:tcPr>
          <w:p w14:paraId="3034FA3E" w14:textId="77777777" w:rsidR="00580BF5" w:rsidRPr="007E040C" w:rsidRDefault="00580BF5" w:rsidP="00B872DE">
            <w:pPr>
              <w:pStyle w:val="Tabulka-7"/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56" w:type="dxa"/>
            <w:shd w:val="clear" w:color="auto" w:fill="auto"/>
            <w:vAlign w:val="top"/>
          </w:tcPr>
          <w:p w14:paraId="7B70FAC8" w14:textId="5EF2DEE3" w:rsidR="00580BF5" w:rsidRPr="00BC51B8" w:rsidRDefault="00542D74" w:rsidP="00780967">
            <w:pPr>
              <w:pStyle w:val="Tabulka"/>
              <w:ind w:left="62" w:hanging="6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677E29">
              <w:rPr>
                <w:sz w:val="14"/>
              </w:rPr>
              <w:t>do 6 měsíců ode dne zahájení stavby</w:t>
            </w:r>
          </w:p>
        </w:tc>
      </w:tr>
      <w:tr w:rsidR="00580BF5" w:rsidRPr="00404F88" w14:paraId="5885C96E" w14:textId="77777777" w:rsidTr="00542D74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" w:type="dxa"/>
          </w:tcPr>
          <w:p w14:paraId="7EBE4A67" w14:textId="77777777" w:rsidR="00580BF5" w:rsidRPr="007E040C" w:rsidRDefault="00580BF5" w:rsidP="00B872DE">
            <w:pPr>
              <w:pStyle w:val="Tabulka-7"/>
              <w:ind w:left="709" w:hanging="709"/>
              <w:rPr>
                <w:highlight w:val="green"/>
              </w:rPr>
            </w:pPr>
          </w:p>
        </w:tc>
        <w:tc>
          <w:tcPr>
            <w:tcW w:w="3061" w:type="dxa"/>
          </w:tcPr>
          <w:p w14:paraId="65395B6F" w14:textId="77777777" w:rsidR="00580BF5" w:rsidRPr="008B4F46" w:rsidRDefault="00580BF5" w:rsidP="00B872DE">
            <w:pPr>
              <w:pStyle w:val="Tabulka-7"/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687" w:type="dxa"/>
          </w:tcPr>
          <w:p w14:paraId="6475AD07" w14:textId="77777777" w:rsidR="00580BF5" w:rsidRPr="007E040C" w:rsidRDefault="00580BF5" w:rsidP="00B872DE">
            <w:pPr>
              <w:pStyle w:val="Tabulka-7"/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56" w:type="dxa"/>
            <w:shd w:val="clear" w:color="auto" w:fill="auto"/>
            <w:vAlign w:val="top"/>
          </w:tcPr>
          <w:p w14:paraId="117BE17A" w14:textId="392AFBCB" w:rsidR="00580BF5" w:rsidRPr="00BC51B8" w:rsidRDefault="00542D74" w:rsidP="0078096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677E29">
              <w:rPr>
                <w:sz w:val="14"/>
              </w:rPr>
              <w:t xml:space="preserve">do </w:t>
            </w:r>
            <w:r>
              <w:rPr>
                <w:sz w:val="14"/>
              </w:rPr>
              <w:t xml:space="preserve">6 </w:t>
            </w:r>
            <w:r w:rsidRPr="00677E29">
              <w:rPr>
                <w:sz w:val="14"/>
              </w:rPr>
              <w:t>měsíců ode dne zahájení stavby</w:t>
            </w:r>
          </w:p>
        </w:tc>
      </w:tr>
    </w:tbl>
    <w:p w14:paraId="3433DF18" w14:textId="362B52A4" w:rsidR="00DF7BAA" w:rsidRDefault="00DF7BAA" w:rsidP="00B872DE">
      <w:pPr>
        <w:pStyle w:val="Nadpis2-1"/>
        <w:ind w:left="709" w:hanging="709"/>
      </w:pPr>
      <w:bookmarkStart w:id="53" w:name="_Toc6410461"/>
      <w:bookmarkStart w:id="54" w:name="_Toc132615043"/>
      <w:r w:rsidRPr="00EC2E51">
        <w:t>SOUVISEJÍCÍ</w:t>
      </w:r>
      <w:r>
        <w:t xml:space="preserve"> DOKUMENTY A PŘEDPISY</w:t>
      </w:r>
      <w:bookmarkEnd w:id="53"/>
      <w:bookmarkEnd w:id="54"/>
    </w:p>
    <w:p w14:paraId="45027675" w14:textId="1384D317" w:rsidR="009C4EEA" w:rsidRPr="007D016E" w:rsidRDefault="009C4EEA" w:rsidP="00B872DE">
      <w:pPr>
        <w:pStyle w:val="Text2-1"/>
        <w:ind w:left="709" w:hanging="709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B872DE">
      <w:pPr>
        <w:pStyle w:val="Text2-1"/>
        <w:ind w:left="709" w:hanging="709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31B9D">
      <w:pPr>
        <w:pStyle w:val="Textbezslovn"/>
        <w:ind w:left="709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031B9D">
      <w:pPr>
        <w:pStyle w:val="Textbezslovn"/>
        <w:ind w:left="709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031B9D">
      <w:pPr>
        <w:pStyle w:val="Textbezslovn"/>
        <w:keepNext/>
        <w:spacing w:after="0"/>
        <w:ind w:left="1418" w:hanging="709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031B9D">
      <w:pPr>
        <w:pStyle w:val="Textbezslovn"/>
        <w:keepNext/>
        <w:spacing w:after="0"/>
        <w:ind w:left="1418" w:hanging="709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031B9D">
      <w:pPr>
        <w:pStyle w:val="Textbezslovn"/>
        <w:keepNext/>
        <w:spacing w:after="0"/>
        <w:ind w:left="1418" w:hanging="709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031B9D">
      <w:pPr>
        <w:pStyle w:val="Textbezslovn"/>
        <w:keepNext/>
        <w:spacing w:after="0"/>
        <w:ind w:left="1418" w:hanging="709"/>
      </w:pPr>
      <w:r>
        <w:t>Jeremenkova 103/23</w:t>
      </w:r>
    </w:p>
    <w:p w14:paraId="34750FF5" w14:textId="77777777" w:rsidR="009C4EEA" w:rsidRDefault="009C4EEA" w:rsidP="00031B9D">
      <w:pPr>
        <w:pStyle w:val="Textbezslovn"/>
        <w:ind w:left="1418" w:hanging="709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031B9D">
      <w:pPr>
        <w:pStyle w:val="Textbezslovn"/>
        <w:ind w:left="1418" w:hanging="709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031B9D">
      <w:pPr>
        <w:pStyle w:val="Textbezslovn"/>
        <w:spacing w:after="0"/>
        <w:ind w:left="1418" w:hanging="709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031B9D">
      <w:pPr>
        <w:pStyle w:val="Textbezslovn"/>
        <w:ind w:left="1418" w:hanging="709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B872DE">
      <w:pPr>
        <w:pStyle w:val="Nadpis2-1"/>
        <w:ind w:left="709" w:hanging="709"/>
      </w:pPr>
      <w:bookmarkStart w:id="55" w:name="_Toc6410462"/>
      <w:bookmarkStart w:id="56" w:name="_Toc132615044"/>
      <w:r>
        <w:t>PŘÍLOHY</w:t>
      </w:r>
      <w:bookmarkEnd w:id="55"/>
      <w:bookmarkEnd w:id="56"/>
    </w:p>
    <w:p w14:paraId="6B2472A9" w14:textId="19A879AB" w:rsidR="002B6B58" w:rsidRDefault="00780967" w:rsidP="00B872DE">
      <w:pPr>
        <w:pStyle w:val="Text2-1"/>
        <w:ind w:left="709" w:hanging="709"/>
      </w:pPr>
      <w:r>
        <w:t xml:space="preserve">Příloha č. 1 </w:t>
      </w:r>
      <w:proofErr w:type="gramStart"/>
      <w:r>
        <w:t xml:space="preserve">-  </w:t>
      </w:r>
      <w:r w:rsidR="00AD59B7" w:rsidRPr="00AD59B7">
        <w:t>Situační</w:t>
      </w:r>
      <w:proofErr w:type="gramEnd"/>
      <w:r w:rsidR="00AD59B7" w:rsidRPr="00AD59B7">
        <w:t xml:space="preserve"> </w:t>
      </w:r>
      <w:r w:rsidR="00AD59B7">
        <w:t>s</w:t>
      </w:r>
      <w:r w:rsidR="00AD59B7" w:rsidRPr="00AD59B7">
        <w:t>chéma</w:t>
      </w:r>
      <w:bookmarkEnd w:id="5"/>
      <w:bookmarkEnd w:id="6"/>
      <w:bookmarkEnd w:id="7"/>
      <w:bookmarkEnd w:id="8"/>
      <w:bookmarkEnd w:id="9"/>
      <w:r w:rsidR="0092659B">
        <w:t xml:space="preserve"> TZZ Louky nad Olší - Karviná</w:t>
      </w:r>
    </w:p>
    <w:sectPr w:rsidR="002B6B58" w:rsidSect="00B872DE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276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8D34B" w14:textId="77777777" w:rsidR="00816449" w:rsidRDefault="00816449" w:rsidP="00962258">
      <w:pPr>
        <w:spacing w:after="0" w:line="240" w:lineRule="auto"/>
      </w:pPr>
      <w:r>
        <w:separator/>
      </w:r>
    </w:p>
  </w:endnote>
  <w:endnote w:type="continuationSeparator" w:id="0">
    <w:p w14:paraId="6576FA5A" w14:textId="77777777" w:rsidR="00816449" w:rsidRDefault="008164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0753F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4A393B9B" w:rsidR="00A0753F" w:rsidRPr="00780967" w:rsidRDefault="00A0753F" w:rsidP="00614E71">
          <w:pPr>
            <w:pStyle w:val="Zpat"/>
            <w:rPr>
              <w:b/>
              <w:sz w:val="12"/>
            </w:rPr>
          </w:pPr>
          <w:r w:rsidRPr="00780967">
            <w:rPr>
              <w:b/>
              <w:sz w:val="12"/>
            </w:rPr>
            <w:fldChar w:fldCharType="begin"/>
          </w:r>
          <w:r w:rsidRPr="00780967">
            <w:rPr>
              <w:b/>
              <w:sz w:val="12"/>
            </w:rPr>
            <w:instrText>PAGE   \* MERGEFORMAT</w:instrText>
          </w:r>
          <w:r w:rsidRPr="00780967">
            <w:rPr>
              <w:b/>
              <w:sz w:val="12"/>
            </w:rPr>
            <w:fldChar w:fldCharType="separate"/>
          </w:r>
          <w:r w:rsidR="0092659B" w:rsidRPr="00780967">
            <w:rPr>
              <w:b/>
              <w:sz w:val="12"/>
            </w:rPr>
            <w:t>12</w:t>
          </w:r>
          <w:r w:rsidRPr="00780967">
            <w:rPr>
              <w:b/>
              <w:sz w:val="12"/>
            </w:rPr>
            <w:fldChar w:fldCharType="end"/>
          </w:r>
          <w:r w:rsidRPr="00780967">
            <w:rPr>
              <w:b/>
              <w:sz w:val="12"/>
            </w:rPr>
            <w:t>/</w:t>
          </w:r>
          <w:r w:rsidRPr="00780967">
            <w:rPr>
              <w:b/>
              <w:sz w:val="12"/>
            </w:rPr>
            <w:fldChar w:fldCharType="begin"/>
          </w:r>
          <w:r w:rsidRPr="00780967">
            <w:rPr>
              <w:b/>
              <w:sz w:val="12"/>
            </w:rPr>
            <w:instrText xml:space="preserve"> NUMPAGES   \* MERGEFORMAT </w:instrText>
          </w:r>
          <w:r w:rsidRPr="00780967">
            <w:rPr>
              <w:b/>
              <w:sz w:val="12"/>
            </w:rPr>
            <w:fldChar w:fldCharType="separate"/>
          </w:r>
          <w:r w:rsidR="0092659B" w:rsidRPr="00780967">
            <w:rPr>
              <w:b/>
              <w:sz w:val="12"/>
            </w:rPr>
            <w:t>13</w:t>
          </w:r>
          <w:r w:rsidRPr="00780967">
            <w:rPr>
              <w:b/>
              <w:sz w:val="12"/>
            </w:rPr>
            <w:fldChar w:fldCharType="end"/>
          </w:r>
        </w:p>
      </w:tc>
      <w:tc>
        <w:tcPr>
          <w:tcW w:w="7739" w:type="dxa"/>
          <w:vAlign w:val="bottom"/>
        </w:tcPr>
        <w:p w14:paraId="14695458" w14:textId="192ED79B" w:rsidR="00780967" w:rsidRDefault="00780967" w:rsidP="00780967">
          <w:pPr>
            <w:pStyle w:val="Tituldatum"/>
            <w:spacing w:after="0"/>
            <w:rPr>
              <w:b/>
              <w:bCs/>
              <w:sz w:val="20"/>
              <w:szCs w:val="20"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cr/>
          </w:r>
          <w:r>
            <w:fldChar w:fldCharType="end"/>
          </w:r>
          <w:r>
            <w:rPr>
              <w:b/>
              <w:bCs/>
            </w:rPr>
            <w:t xml:space="preserve"> </w:t>
          </w:r>
          <w:sdt>
            <w:sdtPr>
              <w:rPr>
                <w:sz w:val="12"/>
                <w:szCs w:val="20"/>
              </w:rPr>
              <w:alias w:val="Název akce - Vypsat pole, přenese se do zápatí"/>
              <w:tag w:val="Název akce"/>
              <w:id w:val="229586107"/>
              <w:placeholder>
                <w:docPart w:val="448877F881EC4DC4BFF73AC741343B51"/>
              </w:placeholder>
              <w:text w:multiLine="1"/>
            </w:sdtPr>
            <w:sdtContent>
              <w:r w:rsidRPr="00780967">
                <w:rPr>
                  <w:sz w:val="12"/>
                  <w:szCs w:val="20"/>
                </w:rPr>
                <w:t xml:space="preserve">Odstranění důlní škody Louky nad </w:t>
              </w:r>
              <w:proofErr w:type="gramStart"/>
              <w:r w:rsidRPr="00780967">
                <w:rPr>
                  <w:sz w:val="12"/>
                  <w:szCs w:val="20"/>
                </w:rPr>
                <w:t>Olší -Karviná</w:t>
              </w:r>
              <w:proofErr w:type="gramEnd"/>
              <w:r w:rsidRPr="00780967">
                <w:rPr>
                  <w:sz w:val="12"/>
                  <w:szCs w:val="20"/>
                </w:rPr>
                <w:t xml:space="preserve"> km 326,218 - 328,664 - zabezpečovací zařízení</w:t>
              </w:r>
            </w:sdtContent>
          </w:sdt>
        </w:p>
        <w:p w14:paraId="7FFFE8AC" w14:textId="27D5699F" w:rsidR="00A0753F" w:rsidRDefault="00A0753F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1B37D375" w:rsidR="00A0753F" w:rsidRPr="003462EB" w:rsidRDefault="00A0753F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A0753F" w:rsidRPr="00614E71" w:rsidRDefault="00A0753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0753F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7175E11F" w:rsidR="00A0753F" w:rsidRDefault="00780967" w:rsidP="003B111D">
          <w:pPr>
            <w:pStyle w:val="Zpatvpravo"/>
          </w:pPr>
          <w:sdt>
            <w:sdtPr>
              <w:alias w:val="Název akce - Vypsat pole, přenese se do zápatí"/>
              <w:tag w:val="Název akce"/>
              <w:id w:val="-1151672019"/>
              <w:placeholder>
                <w:docPart w:val="333A162004904731ACEAB718502EFEF5"/>
              </w:placeholder>
              <w:text w:multiLine="1"/>
            </w:sdtPr>
            <w:sdtContent>
              <w:r w:rsidRPr="00780967">
                <w:t xml:space="preserve">Odstranění důlní škody Louky nad </w:t>
              </w:r>
              <w:proofErr w:type="gramStart"/>
              <w:r w:rsidRPr="00780967">
                <w:t>Olší -Karviná</w:t>
              </w:r>
              <w:proofErr w:type="gramEnd"/>
              <w:r w:rsidRPr="00780967">
                <w:t xml:space="preserve"> km 326,218 - 328,664 - zabezpečovací zařízení</w:t>
              </w:r>
            </w:sdtContent>
          </w:sdt>
          <w:r w:rsidRPr="00780967">
            <w:t xml:space="preserve"> </w:t>
          </w:r>
          <w:r>
            <w:t xml:space="preserve"> </w:t>
          </w: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A0753F">
            <w:t>Příloha č. 2 b)</w:t>
          </w:r>
        </w:p>
        <w:p w14:paraId="5D9BD160" w14:textId="3081E1ED" w:rsidR="00A0753F" w:rsidRPr="003462EB" w:rsidRDefault="00A0753F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66E40C1E" w:rsidR="00A0753F" w:rsidRPr="009E09BE" w:rsidRDefault="00A0753F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659B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659B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A0753F" w:rsidRPr="00B8518B" w:rsidRDefault="00A0753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A0753F" w:rsidRPr="00B8518B" w:rsidRDefault="00A0753F" w:rsidP="00460660">
    <w:pPr>
      <w:pStyle w:val="Zpat"/>
      <w:rPr>
        <w:sz w:val="2"/>
        <w:szCs w:val="2"/>
      </w:rPr>
    </w:pPr>
  </w:p>
  <w:p w14:paraId="53F277EE" w14:textId="77777777" w:rsidR="00A0753F" w:rsidRDefault="00A0753F" w:rsidP="00757290">
    <w:pPr>
      <w:pStyle w:val="Zpatvlevo"/>
      <w:rPr>
        <w:rFonts w:cs="Calibri"/>
        <w:szCs w:val="12"/>
      </w:rPr>
    </w:pPr>
  </w:p>
  <w:p w14:paraId="17EFC080" w14:textId="77777777" w:rsidR="00A0753F" w:rsidRPr="00460660" w:rsidRDefault="00A0753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83B5C" w14:textId="77777777" w:rsidR="00816449" w:rsidRDefault="00816449" w:rsidP="00962258">
      <w:pPr>
        <w:spacing w:after="0" w:line="240" w:lineRule="auto"/>
      </w:pPr>
      <w:r>
        <w:separator/>
      </w:r>
    </w:p>
  </w:footnote>
  <w:footnote w:type="continuationSeparator" w:id="0">
    <w:p w14:paraId="185E4C09" w14:textId="77777777" w:rsidR="00816449" w:rsidRDefault="008164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0753F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A0753F" w:rsidRPr="00B8518B" w:rsidRDefault="00A0753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A0753F" w:rsidRDefault="00A0753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8" name="Obrázek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A0753F" w:rsidRPr="00D6163D" w:rsidRDefault="00A0753F" w:rsidP="00FC6389">
          <w:pPr>
            <w:pStyle w:val="Druhdokumentu"/>
          </w:pPr>
        </w:p>
      </w:tc>
    </w:tr>
    <w:tr w:rsidR="00A0753F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A0753F" w:rsidRPr="00B8518B" w:rsidRDefault="00A0753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A0753F" w:rsidRDefault="00A0753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A0753F" w:rsidRPr="00D6163D" w:rsidRDefault="00A0753F" w:rsidP="00FC6389">
          <w:pPr>
            <w:pStyle w:val="Druhdokumentu"/>
          </w:pPr>
        </w:p>
      </w:tc>
    </w:tr>
  </w:tbl>
  <w:p w14:paraId="53E85CAA" w14:textId="77777777" w:rsidR="00A0753F" w:rsidRPr="00D6163D" w:rsidRDefault="00A0753F" w:rsidP="00FC6389">
    <w:pPr>
      <w:pStyle w:val="Zhlav"/>
      <w:rPr>
        <w:sz w:val="8"/>
        <w:szCs w:val="8"/>
      </w:rPr>
    </w:pPr>
  </w:p>
  <w:p w14:paraId="1437D3AE" w14:textId="77777777" w:rsidR="00A0753F" w:rsidRPr="00460660" w:rsidRDefault="00A0753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020"/>
        </w:tabs>
        <w:ind w:left="1020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879"/>
        </w:tabs>
        <w:ind w:left="879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674"/>
        </w:tabs>
        <w:ind w:left="1674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821226">
    <w:abstractNumId w:val="8"/>
  </w:num>
  <w:num w:numId="2" w16cid:durableId="98186473">
    <w:abstractNumId w:val="6"/>
  </w:num>
  <w:num w:numId="3" w16cid:durableId="775176327">
    <w:abstractNumId w:val="4"/>
  </w:num>
  <w:num w:numId="4" w16cid:durableId="1983803086">
    <w:abstractNumId w:val="9"/>
  </w:num>
  <w:num w:numId="5" w16cid:durableId="1794863329">
    <w:abstractNumId w:val="11"/>
  </w:num>
  <w:num w:numId="6" w16cid:durableId="1498963811">
    <w:abstractNumId w:val="5"/>
  </w:num>
  <w:num w:numId="7" w16cid:durableId="15289808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9372200">
    <w:abstractNumId w:val="15"/>
  </w:num>
  <w:num w:numId="9" w16cid:durableId="1098795338">
    <w:abstractNumId w:val="0"/>
  </w:num>
  <w:num w:numId="10" w16cid:durableId="1016687849">
    <w:abstractNumId w:val="9"/>
  </w:num>
  <w:num w:numId="11" w16cid:durableId="809401962">
    <w:abstractNumId w:val="11"/>
  </w:num>
  <w:num w:numId="12" w16cid:durableId="737096778">
    <w:abstractNumId w:val="14"/>
  </w:num>
  <w:num w:numId="13" w16cid:durableId="1090664535">
    <w:abstractNumId w:val="3"/>
  </w:num>
  <w:num w:numId="14" w16cid:durableId="1976912265">
    <w:abstractNumId w:val="5"/>
  </w:num>
  <w:num w:numId="15" w16cid:durableId="1880391498">
    <w:abstractNumId w:val="15"/>
  </w:num>
  <w:num w:numId="16" w16cid:durableId="1324894287">
    <w:abstractNumId w:val="7"/>
  </w:num>
  <w:num w:numId="17" w16cid:durableId="1865440782">
    <w:abstractNumId w:val="10"/>
  </w:num>
  <w:num w:numId="18" w16cid:durableId="961693723">
    <w:abstractNumId w:val="2"/>
  </w:num>
  <w:num w:numId="19" w16cid:durableId="144592824">
    <w:abstractNumId w:val="5"/>
  </w:num>
  <w:num w:numId="20" w16cid:durableId="1488521702">
    <w:abstractNumId w:val="5"/>
  </w:num>
  <w:num w:numId="21" w16cid:durableId="14212952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50731071">
    <w:abstractNumId w:val="13"/>
  </w:num>
  <w:num w:numId="23" w16cid:durableId="998074459">
    <w:abstractNumId w:val="5"/>
  </w:num>
  <w:num w:numId="24" w16cid:durableId="1304778409">
    <w:abstractNumId w:val="5"/>
  </w:num>
  <w:num w:numId="25" w16cid:durableId="1067651542">
    <w:abstractNumId w:val="12"/>
  </w:num>
  <w:num w:numId="26" w16cid:durableId="57285137">
    <w:abstractNumId w:val="5"/>
  </w:num>
  <w:num w:numId="27" w16cid:durableId="10378948">
    <w:abstractNumId w:val="5"/>
  </w:num>
  <w:num w:numId="28" w16cid:durableId="1182865698">
    <w:abstractNumId w:val="5"/>
  </w:num>
  <w:num w:numId="29" w16cid:durableId="374622435">
    <w:abstractNumId w:val="1"/>
  </w:num>
  <w:num w:numId="30" w16cid:durableId="1543713290">
    <w:abstractNumId w:val="5"/>
  </w:num>
  <w:num w:numId="31" w16cid:durableId="792599402">
    <w:abstractNumId w:val="5"/>
  </w:num>
  <w:num w:numId="32" w16cid:durableId="649821098">
    <w:abstractNumId w:val="5"/>
  </w:num>
  <w:num w:numId="33" w16cid:durableId="1310356171">
    <w:abstractNumId w:val="5"/>
  </w:num>
  <w:num w:numId="34" w16cid:durableId="586696486">
    <w:abstractNumId w:val="5"/>
  </w:num>
  <w:num w:numId="35" w16cid:durableId="521090243">
    <w:abstractNumId w:val="5"/>
  </w:num>
  <w:num w:numId="36" w16cid:durableId="986084139">
    <w:abstractNumId w:val="5"/>
  </w:num>
  <w:num w:numId="37" w16cid:durableId="863638722">
    <w:abstractNumId w:val="5"/>
  </w:num>
  <w:num w:numId="38" w16cid:durableId="2074350160">
    <w:abstractNumId w:val="5"/>
  </w:num>
  <w:num w:numId="39" w16cid:durableId="262224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83D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B9D"/>
    <w:rsid w:val="00031D7C"/>
    <w:rsid w:val="000328BC"/>
    <w:rsid w:val="000342CE"/>
    <w:rsid w:val="00035570"/>
    <w:rsid w:val="000400D9"/>
    <w:rsid w:val="00041EC8"/>
    <w:rsid w:val="0005496A"/>
    <w:rsid w:val="00054FC6"/>
    <w:rsid w:val="000619E9"/>
    <w:rsid w:val="0006459B"/>
    <w:rsid w:val="0006465A"/>
    <w:rsid w:val="0006520D"/>
    <w:rsid w:val="00065260"/>
    <w:rsid w:val="0006588D"/>
    <w:rsid w:val="00066948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1864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26289"/>
    <w:rsid w:val="00130E62"/>
    <w:rsid w:val="00136BCE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1CDA"/>
    <w:rsid w:val="00184ABD"/>
    <w:rsid w:val="00185E6C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3DBE"/>
    <w:rsid w:val="001B4180"/>
    <w:rsid w:val="001B4E74"/>
    <w:rsid w:val="001B531E"/>
    <w:rsid w:val="001B6316"/>
    <w:rsid w:val="001B6986"/>
    <w:rsid w:val="001B7668"/>
    <w:rsid w:val="001B7C02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DEC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34A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1AD9"/>
    <w:rsid w:val="003B2407"/>
    <w:rsid w:val="003B3CA2"/>
    <w:rsid w:val="003B7D96"/>
    <w:rsid w:val="003C33F2"/>
    <w:rsid w:val="003C54DC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2A52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5E72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265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432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2D74"/>
    <w:rsid w:val="005445FA"/>
    <w:rsid w:val="00545AD1"/>
    <w:rsid w:val="00550664"/>
    <w:rsid w:val="00553375"/>
    <w:rsid w:val="00554D0D"/>
    <w:rsid w:val="00555884"/>
    <w:rsid w:val="0055798A"/>
    <w:rsid w:val="00560BEC"/>
    <w:rsid w:val="005610A7"/>
    <w:rsid w:val="0056233E"/>
    <w:rsid w:val="0056243B"/>
    <w:rsid w:val="00562909"/>
    <w:rsid w:val="005736B7"/>
    <w:rsid w:val="00575E5A"/>
    <w:rsid w:val="00580245"/>
    <w:rsid w:val="00580BF5"/>
    <w:rsid w:val="00581542"/>
    <w:rsid w:val="00583439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E793E"/>
    <w:rsid w:val="005F0383"/>
    <w:rsid w:val="005F30B3"/>
    <w:rsid w:val="005F63AC"/>
    <w:rsid w:val="005F69B1"/>
    <w:rsid w:val="0060019A"/>
    <w:rsid w:val="00601A8C"/>
    <w:rsid w:val="0060289C"/>
    <w:rsid w:val="00602AFF"/>
    <w:rsid w:val="00606137"/>
    <w:rsid w:val="0061068E"/>
    <w:rsid w:val="00610BB8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4F94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1B56"/>
    <w:rsid w:val="00714804"/>
    <w:rsid w:val="007161BD"/>
    <w:rsid w:val="00717095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0967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47D8"/>
    <w:rsid w:val="007B570C"/>
    <w:rsid w:val="007C1551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449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4A51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1C6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265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6051"/>
    <w:rsid w:val="009774EB"/>
    <w:rsid w:val="00980EEF"/>
    <w:rsid w:val="00980F8B"/>
    <w:rsid w:val="00981A8E"/>
    <w:rsid w:val="0099003A"/>
    <w:rsid w:val="009903C3"/>
    <w:rsid w:val="009920E1"/>
    <w:rsid w:val="00992D9C"/>
    <w:rsid w:val="00992FC6"/>
    <w:rsid w:val="009968DA"/>
    <w:rsid w:val="00996CB8"/>
    <w:rsid w:val="009A2B1A"/>
    <w:rsid w:val="009A354C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0753F"/>
    <w:rsid w:val="00A10D37"/>
    <w:rsid w:val="00A16611"/>
    <w:rsid w:val="00A16D53"/>
    <w:rsid w:val="00A201E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2765"/>
    <w:rsid w:val="00AB4C63"/>
    <w:rsid w:val="00AB536D"/>
    <w:rsid w:val="00AC252B"/>
    <w:rsid w:val="00AC3E83"/>
    <w:rsid w:val="00AC46F4"/>
    <w:rsid w:val="00AC59BD"/>
    <w:rsid w:val="00AC678D"/>
    <w:rsid w:val="00AD056F"/>
    <w:rsid w:val="00AD0C7B"/>
    <w:rsid w:val="00AD38D0"/>
    <w:rsid w:val="00AD59B7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918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C05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872DE"/>
    <w:rsid w:val="00B90FC2"/>
    <w:rsid w:val="00B93566"/>
    <w:rsid w:val="00B94742"/>
    <w:rsid w:val="00B94F10"/>
    <w:rsid w:val="00B961F9"/>
    <w:rsid w:val="00B97CC3"/>
    <w:rsid w:val="00BA2F47"/>
    <w:rsid w:val="00BA5611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E5E8D"/>
    <w:rsid w:val="00BF54FE"/>
    <w:rsid w:val="00BF6922"/>
    <w:rsid w:val="00BF6AEC"/>
    <w:rsid w:val="00C01A3A"/>
    <w:rsid w:val="00C02D0A"/>
    <w:rsid w:val="00C03A6E"/>
    <w:rsid w:val="00C05C11"/>
    <w:rsid w:val="00C12A47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842"/>
    <w:rsid w:val="00C51B48"/>
    <w:rsid w:val="00C53FFF"/>
    <w:rsid w:val="00C54DD8"/>
    <w:rsid w:val="00C54E22"/>
    <w:rsid w:val="00C56FB9"/>
    <w:rsid w:val="00C57DA7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2928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3748B"/>
    <w:rsid w:val="00D4108E"/>
    <w:rsid w:val="00D4656A"/>
    <w:rsid w:val="00D47647"/>
    <w:rsid w:val="00D47BD4"/>
    <w:rsid w:val="00D51539"/>
    <w:rsid w:val="00D521D0"/>
    <w:rsid w:val="00D55077"/>
    <w:rsid w:val="00D559F9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3DB5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073A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083B"/>
    <w:rsid w:val="00E60A2F"/>
    <w:rsid w:val="00E618C4"/>
    <w:rsid w:val="00E67218"/>
    <w:rsid w:val="00E679A6"/>
    <w:rsid w:val="00E70AB8"/>
    <w:rsid w:val="00E7218A"/>
    <w:rsid w:val="00E739C5"/>
    <w:rsid w:val="00E74ECC"/>
    <w:rsid w:val="00E75853"/>
    <w:rsid w:val="00E77C22"/>
    <w:rsid w:val="00E8108D"/>
    <w:rsid w:val="00E84C3A"/>
    <w:rsid w:val="00E863F0"/>
    <w:rsid w:val="00E86655"/>
    <w:rsid w:val="00E86EF7"/>
    <w:rsid w:val="00E875CA"/>
    <w:rsid w:val="00E878EE"/>
    <w:rsid w:val="00E90B32"/>
    <w:rsid w:val="00E95BF0"/>
    <w:rsid w:val="00EA0BE4"/>
    <w:rsid w:val="00EA23A7"/>
    <w:rsid w:val="00EA23AF"/>
    <w:rsid w:val="00EA26D5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175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5D21"/>
    <w:rsid w:val="00FC6389"/>
    <w:rsid w:val="00FC6B75"/>
    <w:rsid w:val="00FC7AC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  <w:tabs>
        <w:tab w:val="clear" w:pos="1674"/>
        <w:tab w:val="num" w:pos="1531"/>
      </w:tabs>
      <w:ind w:left="1531"/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toupal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448877F881EC4DC4BFF73AC741343B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FB6DE7-2BB7-4E8C-9D29-B341A765D0A3}"/>
      </w:docPartPr>
      <w:docPartBody>
        <w:p w:rsidR="00000000" w:rsidRDefault="005546F9" w:rsidP="005546F9">
          <w:pPr>
            <w:pStyle w:val="448877F881EC4DC4BFF73AC741343B51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333A162004904731ACEAB718502EF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B32187-FE33-45A4-81FD-8B8CE0EAA5A8}"/>
      </w:docPartPr>
      <w:docPartBody>
        <w:p w:rsidR="00000000" w:rsidRDefault="005546F9" w:rsidP="005546F9">
          <w:pPr>
            <w:pStyle w:val="333A162004904731ACEAB718502EFEF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151B0"/>
    <w:rsid w:val="00043095"/>
    <w:rsid w:val="00082D50"/>
    <w:rsid w:val="00182DEA"/>
    <w:rsid w:val="001A0BDC"/>
    <w:rsid w:val="001F0177"/>
    <w:rsid w:val="00204520"/>
    <w:rsid w:val="0022554F"/>
    <w:rsid w:val="002357BD"/>
    <w:rsid w:val="00256AC1"/>
    <w:rsid w:val="00290B97"/>
    <w:rsid w:val="002C7D68"/>
    <w:rsid w:val="002D74B9"/>
    <w:rsid w:val="002E448E"/>
    <w:rsid w:val="003D1CE3"/>
    <w:rsid w:val="00553D37"/>
    <w:rsid w:val="005546F9"/>
    <w:rsid w:val="005A5A36"/>
    <w:rsid w:val="005B1DD6"/>
    <w:rsid w:val="005C446F"/>
    <w:rsid w:val="00641106"/>
    <w:rsid w:val="006F6803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C4F3B"/>
    <w:rsid w:val="00CF3DC6"/>
    <w:rsid w:val="00D60657"/>
    <w:rsid w:val="00DA36A4"/>
    <w:rsid w:val="00E018E0"/>
    <w:rsid w:val="00E71DC8"/>
    <w:rsid w:val="00EC1FE9"/>
    <w:rsid w:val="00F4236C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46F9"/>
    <w:rPr>
      <w:color w:val="808080"/>
    </w:rPr>
  </w:style>
  <w:style w:type="paragraph" w:customStyle="1" w:styleId="AEEF0E51FF3443268007CA0255E7F1BD">
    <w:name w:val="AEEF0E51FF3443268007CA0255E7F1BD"/>
  </w:style>
  <w:style w:type="paragraph" w:customStyle="1" w:styleId="D787CFA097654AC08A2E61242983C808">
    <w:name w:val="D787CFA097654AC08A2E61242983C808"/>
    <w:rsid w:val="005546F9"/>
  </w:style>
  <w:style w:type="paragraph" w:customStyle="1" w:styleId="76BD9A16D24843989127AA4E6473EA0E">
    <w:name w:val="76BD9A16D24843989127AA4E6473EA0E"/>
    <w:rsid w:val="005546F9"/>
  </w:style>
  <w:style w:type="paragraph" w:customStyle="1" w:styleId="448877F881EC4DC4BFF73AC741343B51">
    <w:name w:val="448877F881EC4DC4BFF73AC741343B51"/>
    <w:rsid w:val="005546F9"/>
  </w:style>
  <w:style w:type="paragraph" w:customStyle="1" w:styleId="333A162004904731ACEAB718502EFEF5">
    <w:name w:val="333A162004904731ACEAB718502EFEF5"/>
    <w:rsid w:val="005546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513260C4-F844-4C5C-9EE3-22DD65BD70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837</TotalTime>
  <Pages>13</Pages>
  <Words>5220</Words>
  <Characters>30800</Characters>
  <Application>Microsoft Office Word</Application>
  <DocSecurity>0</DocSecurity>
  <Lines>256</Lines>
  <Paragraphs>71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48</cp:revision>
  <cp:lastPrinted>2023-04-14T06:23:00Z</cp:lastPrinted>
  <dcterms:created xsi:type="dcterms:W3CDTF">2023-02-06T09:20:00Z</dcterms:created>
  <dcterms:modified xsi:type="dcterms:W3CDTF">2023-04-28T11:17:00Z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